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9BAA" w14:textId="77777777" w:rsidR="003C2B76" w:rsidRDefault="003C2B76" w:rsidP="003C2B76">
      <w:pPr>
        <w:jc w:val="center"/>
        <w:rPr>
          <w:rFonts w:ascii="Calibri" w:hAnsi="Calibri" w:cs="Calibri"/>
          <w:b/>
          <w:bCs/>
          <w:sz w:val="22"/>
          <w:szCs w:val="22"/>
        </w:rPr>
      </w:pPr>
      <w:r>
        <w:rPr>
          <w:rFonts w:ascii="Calibri" w:hAnsi="Calibri" w:cs="Calibri"/>
          <w:b/>
          <w:bCs/>
          <w:sz w:val="22"/>
          <w:szCs w:val="22"/>
        </w:rPr>
        <w:t>Mobuoy Inquiry Procedures</w:t>
      </w:r>
    </w:p>
    <w:p w14:paraId="08D29B1C" w14:textId="77777777" w:rsidR="003C2B76" w:rsidRPr="006D06E2" w:rsidRDefault="003C2B76" w:rsidP="003C2B76">
      <w:pPr>
        <w:jc w:val="center"/>
        <w:rPr>
          <w:rFonts w:ascii="Calibri" w:hAnsi="Calibri" w:cs="Calibri"/>
          <w:b/>
          <w:bCs/>
          <w:i/>
          <w:iCs/>
          <w:sz w:val="22"/>
          <w:szCs w:val="22"/>
        </w:rPr>
      </w:pPr>
      <w:r w:rsidRPr="006D06E2">
        <w:rPr>
          <w:rFonts w:ascii="Calibri" w:hAnsi="Calibri" w:cs="Calibri"/>
          <w:b/>
          <w:bCs/>
          <w:i/>
          <w:iCs/>
          <w:sz w:val="22"/>
          <w:szCs w:val="22"/>
        </w:rPr>
        <w:t>How the Inquiry will work</w:t>
      </w:r>
    </w:p>
    <w:p w14:paraId="12952631" w14:textId="77777777" w:rsidR="003C2B76" w:rsidRPr="00537BB1" w:rsidRDefault="003C2B76" w:rsidP="003C2B76">
      <w:pPr>
        <w:rPr>
          <w:rFonts w:ascii="Calibri" w:hAnsi="Calibri" w:cs="Calibri"/>
          <w:b/>
          <w:bCs/>
          <w:sz w:val="22"/>
          <w:szCs w:val="22"/>
        </w:rPr>
      </w:pPr>
      <w:r w:rsidRPr="00537BB1">
        <w:rPr>
          <w:rFonts w:ascii="Calibri" w:hAnsi="Calibri" w:cs="Calibri"/>
          <w:b/>
          <w:bCs/>
          <w:sz w:val="22"/>
          <w:szCs w:val="22"/>
        </w:rPr>
        <w:t>Principles</w:t>
      </w:r>
    </w:p>
    <w:p w14:paraId="7EE6CEEF" w14:textId="77777777" w:rsidR="003C2B76" w:rsidRPr="00537BB1" w:rsidRDefault="003C2B76" w:rsidP="003C2B76">
      <w:pPr>
        <w:rPr>
          <w:rFonts w:ascii="Calibri" w:hAnsi="Calibri" w:cs="Calibri"/>
          <w:sz w:val="22"/>
          <w:szCs w:val="22"/>
        </w:rPr>
      </w:pPr>
      <w:r w:rsidRPr="00537BB1">
        <w:rPr>
          <w:rFonts w:ascii="Calibri" w:hAnsi="Calibri" w:cs="Calibri"/>
          <w:sz w:val="22"/>
          <w:szCs w:val="22"/>
        </w:rPr>
        <w:t xml:space="preserve">The </w:t>
      </w:r>
      <w:r>
        <w:rPr>
          <w:rFonts w:ascii="Calibri" w:hAnsi="Calibri" w:cs="Calibri"/>
          <w:sz w:val="22"/>
          <w:szCs w:val="22"/>
        </w:rPr>
        <w:t>Inquiry</w:t>
      </w:r>
      <w:r w:rsidRPr="00537BB1">
        <w:rPr>
          <w:rFonts w:ascii="Calibri" w:hAnsi="Calibri" w:cs="Calibri"/>
          <w:sz w:val="22"/>
          <w:szCs w:val="22"/>
        </w:rPr>
        <w:t xml:space="preserve"> will operate under the following principles:</w:t>
      </w:r>
    </w:p>
    <w:p w14:paraId="779D9C4F" w14:textId="77777777" w:rsidR="003C2B76" w:rsidRPr="00537BB1" w:rsidRDefault="003C2B76" w:rsidP="003C2B76">
      <w:pPr>
        <w:numPr>
          <w:ilvl w:val="0"/>
          <w:numId w:val="2"/>
        </w:numPr>
        <w:rPr>
          <w:rFonts w:ascii="Calibri" w:hAnsi="Calibri" w:cs="Calibri"/>
          <w:sz w:val="22"/>
          <w:szCs w:val="22"/>
        </w:rPr>
      </w:pPr>
      <w:r w:rsidRPr="00537BB1">
        <w:rPr>
          <w:rFonts w:ascii="Calibri" w:hAnsi="Calibri" w:cs="Calibri"/>
          <w:b/>
          <w:bCs/>
          <w:sz w:val="22"/>
          <w:szCs w:val="22"/>
        </w:rPr>
        <w:t>Independence:</w:t>
      </w:r>
      <w:r w:rsidRPr="00537BB1">
        <w:rPr>
          <w:rFonts w:ascii="Calibri" w:hAnsi="Calibri" w:cs="Calibri"/>
          <w:sz w:val="22"/>
          <w:szCs w:val="22"/>
        </w:rPr>
        <w:t xml:space="preserve"> Free from state or corporate influence.</w:t>
      </w:r>
    </w:p>
    <w:p w14:paraId="74827BB5" w14:textId="77777777" w:rsidR="003C2B76" w:rsidRPr="00537BB1" w:rsidRDefault="003C2B76" w:rsidP="003C2B76">
      <w:pPr>
        <w:numPr>
          <w:ilvl w:val="0"/>
          <w:numId w:val="2"/>
        </w:numPr>
        <w:rPr>
          <w:rFonts w:ascii="Calibri" w:hAnsi="Calibri" w:cs="Calibri"/>
          <w:sz w:val="22"/>
          <w:szCs w:val="22"/>
        </w:rPr>
      </w:pPr>
      <w:r w:rsidRPr="00537BB1">
        <w:rPr>
          <w:rFonts w:ascii="Calibri" w:hAnsi="Calibri" w:cs="Calibri"/>
          <w:b/>
          <w:bCs/>
          <w:sz w:val="22"/>
          <w:szCs w:val="22"/>
        </w:rPr>
        <w:t>Transparency:</w:t>
      </w:r>
      <w:r w:rsidRPr="00537BB1">
        <w:rPr>
          <w:rFonts w:ascii="Calibri" w:hAnsi="Calibri" w:cs="Calibri"/>
          <w:sz w:val="22"/>
          <w:szCs w:val="22"/>
        </w:rPr>
        <w:t xml:space="preserve"> Open processes, public reporting and accessible information.</w:t>
      </w:r>
    </w:p>
    <w:p w14:paraId="4CD0B614" w14:textId="77777777" w:rsidR="003C2B76" w:rsidRPr="00537BB1" w:rsidRDefault="003C2B76" w:rsidP="003C2B76">
      <w:pPr>
        <w:numPr>
          <w:ilvl w:val="0"/>
          <w:numId w:val="2"/>
        </w:numPr>
        <w:rPr>
          <w:rFonts w:ascii="Calibri" w:hAnsi="Calibri" w:cs="Calibri"/>
          <w:sz w:val="22"/>
          <w:szCs w:val="22"/>
        </w:rPr>
      </w:pPr>
      <w:r w:rsidRPr="00537BB1">
        <w:rPr>
          <w:rFonts w:ascii="Calibri" w:hAnsi="Calibri" w:cs="Calibri"/>
          <w:b/>
          <w:bCs/>
          <w:sz w:val="22"/>
          <w:szCs w:val="22"/>
        </w:rPr>
        <w:t>Fairness:</w:t>
      </w:r>
      <w:r w:rsidRPr="00537BB1">
        <w:rPr>
          <w:rFonts w:ascii="Calibri" w:hAnsi="Calibri" w:cs="Calibri"/>
          <w:sz w:val="22"/>
          <w:szCs w:val="22"/>
        </w:rPr>
        <w:t xml:space="preserve"> Equal opportunity for participation, respect for all voices.</w:t>
      </w:r>
    </w:p>
    <w:p w14:paraId="7DE609AF" w14:textId="77777777" w:rsidR="003C2B76" w:rsidRPr="00537BB1" w:rsidRDefault="003C2B76" w:rsidP="003C2B76">
      <w:pPr>
        <w:numPr>
          <w:ilvl w:val="0"/>
          <w:numId w:val="2"/>
        </w:numPr>
        <w:rPr>
          <w:rFonts w:ascii="Calibri" w:hAnsi="Calibri" w:cs="Calibri"/>
          <w:sz w:val="22"/>
          <w:szCs w:val="22"/>
        </w:rPr>
      </w:pPr>
      <w:r w:rsidRPr="00537BB1">
        <w:rPr>
          <w:rFonts w:ascii="Calibri" w:hAnsi="Calibri" w:cs="Calibri"/>
          <w:b/>
          <w:bCs/>
          <w:sz w:val="22"/>
          <w:szCs w:val="22"/>
        </w:rPr>
        <w:t>Credibility:</w:t>
      </w:r>
      <w:r w:rsidRPr="00537BB1">
        <w:rPr>
          <w:rFonts w:ascii="Calibri" w:hAnsi="Calibri" w:cs="Calibri"/>
          <w:sz w:val="22"/>
          <w:szCs w:val="22"/>
        </w:rPr>
        <w:t xml:space="preserve"> Led by qualified, impartial experts.</w:t>
      </w:r>
    </w:p>
    <w:p w14:paraId="7D0E7867" w14:textId="77777777" w:rsidR="003C2B76" w:rsidRDefault="003C2B76" w:rsidP="003C2B76">
      <w:pPr>
        <w:numPr>
          <w:ilvl w:val="0"/>
          <w:numId w:val="2"/>
        </w:numPr>
        <w:rPr>
          <w:rFonts w:ascii="Calibri" w:hAnsi="Calibri" w:cs="Calibri"/>
          <w:sz w:val="22"/>
          <w:szCs w:val="22"/>
        </w:rPr>
      </w:pPr>
      <w:r w:rsidRPr="00537BB1">
        <w:rPr>
          <w:rFonts w:ascii="Calibri" w:hAnsi="Calibri" w:cs="Calibri"/>
          <w:b/>
          <w:bCs/>
          <w:sz w:val="22"/>
          <w:szCs w:val="22"/>
        </w:rPr>
        <w:t>Accessibility:</w:t>
      </w:r>
      <w:r w:rsidRPr="00537BB1">
        <w:rPr>
          <w:rFonts w:ascii="Calibri" w:hAnsi="Calibri" w:cs="Calibri"/>
          <w:sz w:val="22"/>
          <w:szCs w:val="22"/>
        </w:rPr>
        <w:t xml:space="preserve"> Processes and evidence channels designed to be inclusive of affected communities.</w:t>
      </w:r>
    </w:p>
    <w:p w14:paraId="2F2E151C" w14:textId="77777777" w:rsidR="003C2B76" w:rsidRDefault="003C2B76" w:rsidP="003C2B76">
      <w:pPr>
        <w:rPr>
          <w:rFonts w:ascii="Calibri" w:hAnsi="Calibri" w:cs="Calibri"/>
          <w:sz w:val="22"/>
          <w:szCs w:val="22"/>
        </w:rPr>
      </w:pPr>
      <w:r>
        <w:rPr>
          <w:rFonts w:ascii="Calibri" w:hAnsi="Calibri" w:cs="Calibri"/>
          <w:b/>
          <w:bCs/>
          <w:sz w:val="22"/>
          <w:szCs w:val="22"/>
        </w:rPr>
        <w:t>How the Panel will be appointed</w:t>
      </w:r>
    </w:p>
    <w:p w14:paraId="15EC993C" w14:textId="77777777" w:rsidR="003C2B76" w:rsidRPr="000A570A" w:rsidRDefault="003C2B76" w:rsidP="003C2B76">
      <w:pPr>
        <w:rPr>
          <w:rFonts w:ascii="Calibri" w:hAnsi="Calibri" w:cs="Calibri"/>
          <w:sz w:val="22"/>
          <w:szCs w:val="22"/>
        </w:rPr>
      </w:pPr>
      <w:r w:rsidRPr="000A570A">
        <w:rPr>
          <w:rFonts w:ascii="Calibri" w:hAnsi="Calibri" w:cs="Calibri"/>
          <w:sz w:val="22"/>
          <w:szCs w:val="22"/>
        </w:rPr>
        <w:t>The panel</w:t>
      </w:r>
      <w:r>
        <w:rPr>
          <w:rFonts w:ascii="Calibri" w:hAnsi="Calibri" w:cs="Calibri"/>
          <w:sz w:val="22"/>
          <w:szCs w:val="22"/>
        </w:rPr>
        <w:t xml:space="preserve"> </w:t>
      </w:r>
      <w:r w:rsidRPr="000A570A">
        <w:rPr>
          <w:rFonts w:ascii="Calibri" w:hAnsi="Calibri" w:cs="Calibri"/>
          <w:sz w:val="22"/>
          <w:szCs w:val="22"/>
        </w:rPr>
        <w:t>deliberating on Mobuoy will be selected by the steering committee</w:t>
      </w:r>
      <w:r>
        <w:rPr>
          <w:rFonts w:ascii="Calibri" w:hAnsi="Calibri" w:cs="Calibri"/>
          <w:sz w:val="22"/>
          <w:szCs w:val="22"/>
        </w:rPr>
        <w:t xml:space="preserve">. This selection will be </w:t>
      </w:r>
      <w:r w:rsidRPr="000A570A">
        <w:rPr>
          <w:rFonts w:ascii="Calibri" w:hAnsi="Calibri" w:cs="Calibri"/>
          <w:sz w:val="22"/>
          <w:szCs w:val="22"/>
        </w:rPr>
        <w:t>informed by evidence, research and emerging plans over the initial consultation and evidence gathering processes. They will have practical and/or academic experience in the fields of environmental justice, regulation, governance, human rights and other related fields.</w:t>
      </w:r>
    </w:p>
    <w:p w14:paraId="30BF3FE8" w14:textId="77777777" w:rsidR="003C2B76" w:rsidRPr="00274D9D" w:rsidRDefault="003C2B76" w:rsidP="003C2B76">
      <w:pPr>
        <w:rPr>
          <w:rFonts w:ascii="Calibri" w:hAnsi="Calibri" w:cs="Calibri"/>
          <w:b/>
          <w:bCs/>
          <w:sz w:val="22"/>
          <w:szCs w:val="22"/>
        </w:rPr>
      </w:pPr>
      <w:r w:rsidRPr="00274D9D">
        <w:rPr>
          <w:rFonts w:ascii="Calibri" w:hAnsi="Calibri" w:cs="Calibri"/>
          <w:b/>
          <w:bCs/>
          <w:sz w:val="22"/>
          <w:szCs w:val="22"/>
        </w:rPr>
        <w:t>Role of the Panel</w:t>
      </w:r>
    </w:p>
    <w:p w14:paraId="34036818" w14:textId="77777777" w:rsidR="003C2B76" w:rsidRDefault="003C2B76" w:rsidP="003C2B76">
      <w:pPr>
        <w:pStyle w:val="ListParagraph"/>
        <w:numPr>
          <w:ilvl w:val="0"/>
          <w:numId w:val="4"/>
        </w:numPr>
        <w:rPr>
          <w:rFonts w:ascii="Calibri" w:hAnsi="Calibri" w:cs="Calibri"/>
          <w:sz w:val="22"/>
          <w:szCs w:val="22"/>
        </w:rPr>
      </w:pPr>
      <w:r w:rsidRPr="007C26D5">
        <w:rPr>
          <w:rFonts w:ascii="Calibri" w:hAnsi="Calibri" w:cs="Calibri"/>
          <w:sz w:val="22"/>
          <w:szCs w:val="22"/>
        </w:rPr>
        <w:t xml:space="preserve">Be supported by a </w:t>
      </w:r>
      <w:r>
        <w:rPr>
          <w:rFonts w:ascii="Calibri" w:hAnsi="Calibri" w:cs="Calibri"/>
          <w:b/>
          <w:bCs/>
          <w:sz w:val="22"/>
          <w:szCs w:val="22"/>
        </w:rPr>
        <w:t>secretariat</w:t>
      </w:r>
      <w:r w:rsidRPr="007C26D5">
        <w:rPr>
          <w:rFonts w:ascii="Calibri" w:hAnsi="Calibri" w:cs="Calibri"/>
          <w:b/>
          <w:bCs/>
          <w:sz w:val="22"/>
          <w:szCs w:val="22"/>
        </w:rPr>
        <w:t xml:space="preserve"> team (PILS)</w:t>
      </w:r>
      <w:r w:rsidRPr="007C26D5">
        <w:rPr>
          <w:rFonts w:ascii="Calibri" w:hAnsi="Calibri" w:cs="Calibri"/>
          <w:sz w:val="22"/>
          <w:szCs w:val="22"/>
        </w:rPr>
        <w:t xml:space="preserve"> to ensure procedural fairness, witness coordination and panel clerking.</w:t>
      </w:r>
    </w:p>
    <w:p w14:paraId="01BD3F22" w14:textId="77777777" w:rsidR="003C2B76" w:rsidRPr="00ED2C37" w:rsidRDefault="003C2B76" w:rsidP="003C2B76">
      <w:pPr>
        <w:numPr>
          <w:ilvl w:val="0"/>
          <w:numId w:val="1"/>
        </w:numPr>
        <w:rPr>
          <w:rFonts w:ascii="Calibri" w:hAnsi="Calibri" w:cs="Calibri"/>
          <w:sz w:val="22"/>
          <w:szCs w:val="22"/>
        </w:rPr>
      </w:pPr>
      <w:r>
        <w:rPr>
          <w:rFonts w:ascii="Calibri" w:hAnsi="Calibri" w:cs="Calibri"/>
          <w:color w:val="000000" w:themeColor="text1"/>
          <w:sz w:val="22"/>
          <w:szCs w:val="22"/>
        </w:rPr>
        <w:t>H</w:t>
      </w:r>
      <w:r w:rsidRPr="00ED2C37">
        <w:rPr>
          <w:rFonts w:ascii="Calibri" w:hAnsi="Calibri" w:cs="Calibri"/>
          <w:color w:val="000000" w:themeColor="text1"/>
          <w:sz w:val="22"/>
          <w:szCs w:val="22"/>
        </w:rPr>
        <w:t xml:space="preserve">ear from </w:t>
      </w:r>
      <w:r w:rsidRPr="00ED2C37">
        <w:rPr>
          <w:rFonts w:ascii="Calibri" w:hAnsi="Calibri" w:cs="Calibri"/>
          <w:b/>
          <w:bCs/>
          <w:color w:val="000000" w:themeColor="text1"/>
          <w:sz w:val="22"/>
          <w:szCs w:val="22"/>
        </w:rPr>
        <w:t>witnesses</w:t>
      </w:r>
      <w:r w:rsidRPr="00ED2C37">
        <w:rPr>
          <w:rFonts w:ascii="Calibri" w:hAnsi="Calibri" w:cs="Calibri"/>
          <w:color w:val="000000" w:themeColor="text1"/>
          <w:sz w:val="22"/>
          <w:szCs w:val="22"/>
        </w:rPr>
        <w:t xml:space="preserve"> and review written evidence</w:t>
      </w:r>
      <w:r>
        <w:rPr>
          <w:rFonts w:ascii="Calibri" w:hAnsi="Calibri" w:cs="Calibri"/>
          <w:color w:val="000000" w:themeColor="text1"/>
          <w:sz w:val="22"/>
          <w:szCs w:val="22"/>
        </w:rPr>
        <w:t>.</w:t>
      </w:r>
      <w:r w:rsidRPr="00ED2C37">
        <w:rPr>
          <w:rFonts w:ascii="Calibri" w:hAnsi="Calibri" w:cs="Calibri"/>
          <w:color w:val="000000" w:themeColor="text1"/>
          <w:sz w:val="22"/>
          <w:szCs w:val="22"/>
        </w:rPr>
        <w:t xml:space="preserve"> </w:t>
      </w:r>
    </w:p>
    <w:p w14:paraId="542BA9BB" w14:textId="77777777" w:rsidR="003C2B76" w:rsidRPr="00ED2C37" w:rsidRDefault="003C2B76" w:rsidP="003C2B76">
      <w:pPr>
        <w:numPr>
          <w:ilvl w:val="0"/>
          <w:numId w:val="1"/>
        </w:numPr>
        <w:rPr>
          <w:rFonts w:ascii="Calibri" w:hAnsi="Calibri" w:cs="Calibri"/>
          <w:sz w:val="22"/>
          <w:szCs w:val="22"/>
        </w:rPr>
      </w:pPr>
      <w:r>
        <w:rPr>
          <w:rFonts w:ascii="Calibri" w:hAnsi="Calibri" w:cs="Calibri"/>
          <w:sz w:val="22"/>
          <w:szCs w:val="22"/>
        </w:rPr>
        <w:t>P</w:t>
      </w:r>
      <w:r w:rsidRPr="00ED2C37">
        <w:rPr>
          <w:rFonts w:ascii="Calibri" w:hAnsi="Calibri" w:cs="Calibri"/>
          <w:sz w:val="22"/>
          <w:szCs w:val="22"/>
        </w:rPr>
        <w:t xml:space="preserve">roduce a </w:t>
      </w:r>
      <w:r w:rsidRPr="00ED2C37">
        <w:rPr>
          <w:rFonts w:ascii="Calibri" w:hAnsi="Calibri" w:cs="Calibri"/>
          <w:b/>
          <w:bCs/>
          <w:sz w:val="22"/>
          <w:szCs w:val="22"/>
        </w:rPr>
        <w:t>final report</w:t>
      </w:r>
      <w:r w:rsidRPr="00ED2C37">
        <w:rPr>
          <w:rFonts w:ascii="Calibri" w:hAnsi="Calibri" w:cs="Calibri"/>
          <w:sz w:val="22"/>
          <w:szCs w:val="22"/>
        </w:rPr>
        <w:t xml:space="preserve"> (Autumn 2026) including findings, rulings and recommendations.</w:t>
      </w:r>
    </w:p>
    <w:p w14:paraId="2A1B557C" w14:textId="77777777" w:rsidR="003C2B76" w:rsidRDefault="003C2B76" w:rsidP="003C2B76">
      <w:pPr>
        <w:rPr>
          <w:rFonts w:ascii="Calibri" w:hAnsi="Calibri" w:cs="Calibri"/>
          <w:b/>
          <w:bCs/>
          <w:sz w:val="22"/>
          <w:szCs w:val="22"/>
        </w:rPr>
      </w:pPr>
    </w:p>
    <w:p w14:paraId="75AB4BC3" w14:textId="77777777" w:rsidR="003C2B76" w:rsidRDefault="003C2B76" w:rsidP="003C2B76">
      <w:pPr>
        <w:rPr>
          <w:rFonts w:ascii="Calibri" w:hAnsi="Calibri" w:cs="Calibri"/>
          <w:b/>
          <w:bCs/>
          <w:sz w:val="22"/>
          <w:szCs w:val="22"/>
        </w:rPr>
      </w:pPr>
      <w:r>
        <w:rPr>
          <w:rFonts w:ascii="Calibri" w:hAnsi="Calibri" w:cs="Calibri"/>
          <w:b/>
          <w:bCs/>
          <w:sz w:val="22"/>
          <w:szCs w:val="22"/>
        </w:rPr>
        <w:t>How the Panel will gather evidence</w:t>
      </w:r>
    </w:p>
    <w:p w14:paraId="47867040" w14:textId="77777777" w:rsidR="003C2B76" w:rsidRDefault="003C2B76" w:rsidP="003C2B76">
      <w:pPr>
        <w:rPr>
          <w:rFonts w:ascii="Calibri" w:hAnsi="Calibri" w:cs="Calibri"/>
          <w:sz w:val="22"/>
          <w:szCs w:val="22"/>
        </w:rPr>
      </w:pPr>
      <w:r>
        <w:rPr>
          <w:rFonts w:ascii="Calibri" w:hAnsi="Calibri" w:cs="Calibri"/>
          <w:sz w:val="22"/>
          <w:szCs w:val="22"/>
        </w:rPr>
        <w:t>The Panel will gather evidence in three ways:</w:t>
      </w:r>
    </w:p>
    <w:p w14:paraId="0B8D1D32" w14:textId="77777777" w:rsidR="003C2B76" w:rsidRDefault="003C2B76" w:rsidP="003C2B76">
      <w:pPr>
        <w:pStyle w:val="ListParagraph"/>
        <w:numPr>
          <w:ilvl w:val="0"/>
          <w:numId w:val="3"/>
        </w:numPr>
        <w:rPr>
          <w:rFonts w:ascii="Calibri" w:hAnsi="Calibri" w:cs="Calibri"/>
          <w:sz w:val="22"/>
          <w:szCs w:val="22"/>
        </w:rPr>
      </w:pPr>
      <w:r>
        <w:rPr>
          <w:rFonts w:ascii="Calibri" w:hAnsi="Calibri" w:cs="Calibri"/>
          <w:b/>
          <w:bCs/>
          <w:sz w:val="22"/>
          <w:szCs w:val="22"/>
        </w:rPr>
        <w:t>Research: i</w:t>
      </w:r>
      <w:r>
        <w:rPr>
          <w:rFonts w:ascii="Calibri" w:hAnsi="Calibri" w:cs="Calibri"/>
          <w:sz w:val="22"/>
          <w:szCs w:val="22"/>
        </w:rPr>
        <w:t>t will conduct its own research into the circumstances of the illegal waste dump at Mobuoy</w:t>
      </w:r>
    </w:p>
    <w:p w14:paraId="3FA5C7C1" w14:textId="77777777" w:rsidR="003C2B76" w:rsidRDefault="003C2B76" w:rsidP="003C2B76">
      <w:pPr>
        <w:pStyle w:val="ListParagraph"/>
        <w:numPr>
          <w:ilvl w:val="0"/>
          <w:numId w:val="3"/>
        </w:numPr>
        <w:rPr>
          <w:rFonts w:ascii="Calibri" w:hAnsi="Calibri" w:cs="Calibri"/>
          <w:sz w:val="22"/>
          <w:szCs w:val="22"/>
        </w:rPr>
      </w:pPr>
      <w:r>
        <w:rPr>
          <w:rFonts w:ascii="Calibri" w:hAnsi="Calibri" w:cs="Calibri"/>
          <w:b/>
          <w:bCs/>
          <w:sz w:val="22"/>
          <w:szCs w:val="22"/>
        </w:rPr>
        <w:t>Written evidence:</w:t>
      </w:r>
      <w:r>
        <w:rPr>
          <w:rFonts w:ascii="Calibri" w:hAnsi="Calibri" w:cs="Calibri"/>
          <w:sz w:val="22"/>
          <w:szCs w:val="22"/>
        </w:rPr>
        <w:t xml:space="preserve"> it will review evidence received through an open call for submission</w:t>
      </w:r>
    </w:p>
    <w:p w14:paraId="55ED009E" w14:textId="77777777" w:rsidR="003C2B76" w:rsidRDefault="003C2B76" w:rsidP="003C2B76">
      <w:pPr>
        <w:pStyle w:val="ListParagraph"/>
        <w:numPr>
          <w:ilvl w:val="0"/>
          <w:numId w:val="3"/>
        </w:numPr>
        <w:rPr>
          <w:rFonts w:ascii="Calibri" w:hAnsi="Calibri" w:cs="Calibri"/>
          <w:sz w:val="22"/>
          <w:szCs w:val="22"/>
        </w:rPr>
      </w:pPr>
      <w:r>
        <w:rPr>
          <w:rFonts w:ascii="Calibri" w:hAnsi="Calibri" w:cs="Calibri"/>
          <w:b/>
          <w:bCs/>
          <w:sz w:val="22"/>
          <w:szCs w:val="22"/>
        </w:rPr>
        <w:t xml:space="preserve">Oral evidence: </w:t>
      </w:r>
      <w:r>
        <w:rPr>
          <w:rFonts w:ascii="Calibri" w:hAnsi="Calibri" w:cs="Calibri"/>
          <w:sz w:val="22"/>
          <w:szCs w:val="22"/>
        </w:rPr>
        <w:t>it will hear testimonies and statements from a range of witnesses invited to speak to the panel at a set of public hearings.</w:t>
      </w:r>
    </w:p>
    <w:p w14:paraId="003D8E82" w14:textId="77777777" w:rsidR="003C2B76" w:rsidRDefault="003C2B76" w:rsidP="003C2B76">
      <w:pPr>
        <w:rPr>
          <w:rFonts w:ascii="Calibri" w:hAnsi="Calibri" w:cs="Calibri"/>
          <w:sz w:val="22"/>
          <w:szCs w:val="22"/>
        </w:rPr>
      </w:pPr>
      <w:r>
        <w:rPr>
          <w:rFonts w:ascii="Calibri" w:hAnsi="Calibri" w:cs="Calibri"/>
          <w:b/>
          <w:bCs/>
          <w:sz w:val="22"/>
          <w:szCs w:val="22"/>
        </w:rPr>
        <w:t>Submission of written evidence</w:t>
      </w:r>
    </w:p>
    <w:p w14:paraId="5490D449" w14:textId="77777777" w:rsidR="003C2B76" w:rsidRDefault="003C2B76" w:rsidP="003C2B76">
      <w:pPr>
        <w:rPr>
          <w:rFonts w:ascii="Calibri" w:hAnsi="Calibri" w:cs="Calibri"/>
          <w:sz w:val="22"/>
          <w:szCs w:val="22"/>
        </w:rPr>
      </w:pPr>
      <w:r>
        <w:rPr>
          <w:rFonts w:ascii="Calibri" w:hAnsi="Calibri" w:cs="Calibri"/>
          <w:sz w:val="22"/>
          <w:szCs w:val="22"/>
        </w:rPr>
        <w:t>Members of the public are invited to write to the Inquiry to tell the Panel how the illegal waste dump at Mobuoy has affected them, how it has affected their community, their homes, their families or otherwise. This is an opportunity for people living in the vicinity of this illegal waste dump to give their account directly.</w:t>
      </w:r>
    </w:p>
    <w:p w14:paraId="532CE42A" w14:textId="77777777" w:rsidR="003C2B76" w:rsidRDefault="003C2B76" w:rsidP="003C2B76">
      <w:pPr>
        <w:rPr>
          <w:rFonts w:ascii="Calibri" w:hAnsi="Calibri" w:cs="Calibri"/>
          <w:sz w:val="22"/>
          <w:szCs w:val="22"/>
        </w:rPr>
      </w:pPr>
      <w:r>
        <w:rPr>
          <w:rFonts w:ascii="Calibri" w:hAnsi="Calibri" w:cs="Calibri"/>
          <w:sz w:val="22"/>
          <w:szCs w:val="22"/>
        </w:rPr>
        <w:lastRenderedPageBreak/>
        <w:t>Researchers are also invited to submit any evidence relating to the effects and impact of the illegal waste dump. If you are submitting work which is based on your own professional expertise, for example if you are providing a report on water sampling or contamination levels, please ensure that your submission includes a summary of your relevant qualifications and the methodology you have adopted.</w:t>
      </w:r>
    </w:p>
    <w:p w14:paraId="7C39F9D8" w14:textId="77777777" w:rsidR="003C2B76" w:rsidRDefault="003C2B76" w:rsidP="003C2B76">
      <w:pPr>
        <w:rPr>
          <w:rFonts w:ascii="Calibri" w:hAnsi="Calibri" w:cs="Calibri"/>
          <w:color w:val="000000" w:themeColor="text1"/>
          <w:sz w:val="22"/>
          <w:szCs w:val="22"/>
        </w:rPr>
      </w:pPr>
      <w:r>
        <w:rPr>
          <w:rFonts w:ascii="Calibri" w:hAnsi="Calibri" w:cs="Calibri"/>
          <w:color w:val="000000" w:themeColor="text1"/>
          <w:sz w:val="22"/>
          <w:szCs w:val="22"/>
        </w:rPr>
        <w:t xml:space="preserve">An </w:t>
      </w:r>
      <w:r w:rsidRPr="0023773A">
        <w:rPr>
          <w:rFonts w:ascii="Calibri" w:hAnsi="Calibri" w:cs="Calibri"/>
          <w:b/>
          <w:bCs/>
          <w:color w:val="000000" w:themeColor="text1"/>
          <w:sz w:val="22"/>
          <w:szCs w:val="22"/>
        </w:rPr>
        <w:t>inbox</w:t>
      </w:r>
      <w:r>
        <w:rPr>
          <w:rFonts w:ascii="Calibri" w:hAnsi="Calibri" w:cs="Calibri"/>
          <w:color w:val="000000" w:themeColor="text1"/>
          <w:sz w:val="22"/>
          <w:szCs w:val="22"/>
        </w:rPr>
        <w:t xml:space="preserve"> for written and other forms of </w:t>
      </w:r>
      <w:r w:rsidRPr="0023773A">
        <w:rPr>
          <w:rFonts w:ascii="Calibri" w:hAnsi="Calibri" w:cs="Calibri"/>
          <w:b/>
          <w:bCs/>
          <w:color w:val="000000" w:themeColor="text1"/>
          <w:sz w:val="22"/>
          <w:szCs w:val="22"/>
        </w:rPr>
        <w:t>evidence submission</w:t>
      </w:r>
      <w:r>
        <w:rPr>
          <w:rFonts w:ascii="Calibri" w:hAnsi="Calibri" w:cs="Calibri"/>
          <w:color w:val="000000" w:themeColor="text1"/>
          <w:sz w:val="22"/>
          <w:szCs w:val="22"/>
        </w:rPr>
        <w:t xml:space="preserve"> has been set up: </w:t>
      </w:r>
      <w:hyperlink r:id="rId5" w:history="1">
        <w:r w:rsidRPr="00EB643C">
          <w:rPr>
            <w:rStyle w:val="Hyperlink"/>
            <w:rFonts w:ascii="Calibri" w:hAnsi="Calibri" w:cs="Calibri"/>
            <w:sz w:val="22"/>
            <w:szCs w:val="22"/>
          </w:rPr>
          <w:t>mobuoyinquiry@caj.org.uk</w:t>
        </w:r>
      </w:hyperlink>
      <w:r>
        <w:rPr>
          <w:rFonts w:ascii="Calibri" w:hAnsi="Calibri" w:cs="Calibri"/>
          <w:color w:val="000000" w:themeColor="text1"/>
          <w:sz w:val="22"/>
          <w:szCs w:val="22"/>
        </w:rPr>
        <w:t xml:space="preserve">. </w:t>
      </w:r>
    </w:p>
    <w:p w14:paraId="5732C476" w14:textId="77777777" w:rsidR="003C2B76" w:rsidRPr="00537BB1" w:rsidRDefault="003C2B76" w:rsidP="003C2B76">
      <w:pPr>
        <w:rPr>
          <w:rFonts w:ascii="Calibri" w:hAnsi="Calibri" w:cs="Calibri"/>
          <w:color w:val="000000" w:themeColor="text1"/>
          <w:sz w:val="22"/>
          <w:szCs w:val="22"/>
        </w:rPr>
      </w:pPr>
      <w:r>
        <w:rPr>
          <w:rFonts w:ascii="Calibri" w:hAnsi="Calibri" w:cs="Calibri"/>
          <w:color w:val="000000" w:themeColor="text1"/>
          <w:sz w:val="22"/>
          <w:szCs w:val="22"/>
        </w:rPr>
        <w:t>Submitted evidence and testimony will be processed and prioritised by the CAJ and PILS, in coordination with partners, panellists and in line with the Terms of Reference.</w:t>
      </w:r>
    </w:p>
    <w:p w14:paraId="51A7B969" w14:textId="77777777" w:rsidR="003C2B76" w:rsidRDefault="003C2B76" w:rsidP="003C2B76">
      <w:pPr>
        <w:rPr>
          <w:rFonts w:ascii="Calibri" w:hAnsi="Calibri" w:cs="Calibri"/>
          <w:sz w:val="22"/>
          <w:szCs w:val="22"/>
        </w:rPr>
      </w:pPr>
      <w:r>
        <w:rPr>
          <w:rFonts w:ascii="Calibri" w:hAnsi="Calibri" w:cs="Calibri"/>
          <w:sz w:val="22"/>
          <w:szCs w:val="22"/>
        </w:rPr>
        <w:t>If the Panel wishes to hear more detail, those making written submissions may be asked to speak at the Inquiry hearings.</w:t>
      </w:r>
    </w:p>
    <w:p w14:paraId="2A80C31E" w14:textId="77777777" w:rsidR="003C2B76" w:rsidRDefault="003C2B76" w:rsidP="003C2B76">
      <w:pPr>
        <w:rPr>
          <w:rFonts w:ascii="Calibri" w:hAnsi="Calibri" w:cs="Calibri"/>
          <w:b/>
          <w:bCs/>
          <w:sz w:val="22"/>
          <w:szCs w:val="22"/>
        </w:rPr>
      </w:pPr>
    </w:p>
    <w:p w14:paraId="28CA24CD" w14:textId="77777777" w:rsidR="003C2B76" w:rsidRPr="007C26D5" w:rsidRDefault="003C2B76" w:rsidP="003C2B76">
      <w:pPr>
        <w:rPr>
          <w:rFonts w:ascii="Calibri" w:hAnsi="Calibri" w:cs="Calibri"/>
          <w:b/>
          <w:bCs/>
          <w:sz w:val="22"/>
          <w:szCs w:val="22"/>
        </w:rPr>
      </w:pPr>
      <w:r>
        <w:rPr>
          <w:rFonts w:ascii="Calibri" w:hAnsi="Calibri" w:cs="Calibri"/>
          <w:b/>
          <w:bCs/>
          <w:sz w:val="22"/>
          <w:szCs w:val="22"/>
        </w:rPr>
        <w:t>The Hearings</w:t>
      </w:r>
    </w:p>
    <w:p w14:paraId="6DF28A36" w14:textId="77777777" w:rsidR="003C2B76" w:rsidRPr="00537BB1" w:rsidRDefault="003C2B76" w:rsidP="003C2B76">
      <w:pPr>
        <w:rPr>
          <w:rFonts w:ascii="Calibri" w:hAnsi="Calibri" w:cs="Calibri"/>
          <w:sz w:val="22"/>
          <w:szCs w:val="22"/>
        </w:rPr>
      </w:pPr>
      <w:r w:rsidRPr="00537BB1">
        <w:rPr>
          <w:rFonts w:ascii="Calibri" w:hAnsi="Calibri" w:cs="Calibri"/>
          <w:sz w:val="22"/>
          <w:szCs w:val="22"/>
        </w:rPr>
        <w:t>The Community Hearing will</w:t>
      </w:r>
      <w:r>
        <w:rPr>
          <w:rFonts w:ascii="Calibri" w:hAnsi="Calibri" w:cs="Calibri"/>
          <w:sz w:val="22"/>
          <w:szCs w:val="22"/>
        </w:rPr>
        <w:t xml:space="preserve"> b</w:t>
      </w:r>
      <w:r w:rsidRPr="00537BB1">
        <w:rPr>
          <w:rFonts w:ascii="Calibri" w:hAnsi="Calibri" w:cs="Calibri"/>
          <w:sz w:val="22"/>
          <w:szCs w:val="22"/>
        </w:rPr>
        <w:t xml:space="preserve">e held over </w:t>
      </w:r>
      <w:r w:rsidRPr="00537BB1">
        <w:rPr>
          <w:rFonts w:ascii="Calibri" w:hAnsi="Calibri" w:cs="Calibri"/>
          <w:b/>
          <w:bCs/>
          <w:sz w:val="22"/>
          <w:szCs w:val="22"/>
        </w:rPr>
        <w:t>two days in 2026</w:t>
      </w:r>
      <w:r w:rsidRPr="00537BB1">
        <w:rPr>
          <w:rFonts w:ascii="Calibri" w:hAnsi="Calibri" w:cs="Calibri"/>
          <w:sz w:val="22"/>
          <w:szCs w:val="22"/>
        </w:rPr>
        <w:t>, modelled on a statutory inquiry format.</w:t>
      </w:r>
    </w:p>
    <w:p w14:paraId="0CAD2D3C" w14:textId="77777777" w:rsidR="003C2B76" w:rsidRDefault="003C2B76" w:rsidP="003C2B76">
      <w:pPr>
        <w:rPr>
          <w:rFonts w:ascii="Calibri" w:hAnsi="Calibri" w:cs="Calibri"/>
          <w:color w:val="000000" w:themeColor="text1"/>
          <w:sz w:val="22"/>
          <w:szCs w:val="22"/>
        </w:rPr>
      </w:pPr>
      <w:r w:rsidRPr="005F5A82">
        <w:rPr>
          <w:rFonts w:ascii="Calibri" w:hAnsi="Calibri" w:cs="Calibri"/>
          <w:color w:val="000000" w:themeColor="text1"/>
          <w:sz w:val="22"/>
          <w:szCs w:val="22"/>
        </w:rPr>
        <w:t xml:space="preserve">The Community Hearing will be </w:t>
      </w:r>
      <w:r w:rsidRPr="005F5A82">
        <w:rPr>
          <w:rFonts w:ascii="Calibri" w:hAnsi="Calibri" w:cs="Calibri"/>
          <w:b/>
          <w:bCs/>
          <w:color w:val="000000" w:themeColor="text1"/>
          <w:sz w:val="22"/>
          <w:szCs w:val="22"/>
        </w:rPr>
        <w:t>open to the public and media</w:t>
      </w:r>
      <w:r w:rsidRPr="005F5A82">
        <w:rPr>
          <w:rFonts w:ascii="Calibri" w:hAnsi="Calibri" w:cs="Calibri"/>
          <w:color w:val="000000" w:themeColor="text1"/>
          <w:sz w:val="22"/>
          <w:szCs w:val="22"/>
        </w:rPr>
        <w:t xml:space="preserve">, reflecting the principles of </w:t>
      </w:r>
      <w:r w:rsidRPr="005F5A82">
        <w:rPr>
          <w:rFonts w:ascii="Calibri" w:hAnsi="Calibri" w:cs="Calibri"/>
          <w:b/>
          <w:bCs/>
          <w:color w:val="000000" w:themeColor="text1"/>
          <w:sz w:val="22"/>
          <w:szCs w:val="22"/>
        </w:rPr>
        <w:t>transparency and accountability</w:t>
      </w:r>
      <w:r w:rsidRPr="005F5A82">
        <w:rPr>
          <w:rFonts w:ascii="Calibri" w:hAnsi="Calibri" w:cs="Calibri"/>
          <w:color w:val="000000" w:themeColor="text1"/>
          <w:sz w:val="22"/>
          <w:szCs w:val="22"/>
        </w:rPr>
        <w:t>. Recording of proceedings will be permitted for the public record and for the production of the final report, subject to the Chair’s discretion to restrict coverage in cases where testimony involves sensitive or personal material.</w:t>
      </w:r>
      <w:r>
        <w:rPr>
          <w:rFonts w:ascii="Calibri" w:hAnsi="Calibri" w:cs="Calibri"/>
          <w:color w:val="000000" w:themeColor="text1"/>
          <w:sz w:val="22"/>
          <w:szCs w:val="22"/>
        </w:rPr>
        <w:t xml:space="preserve"> </w:t>
      </w:r>
    </w:p>
    <w:p w14:paraId="6AAD14C3" w14:textId="77777777" w:rsidR="003C2B76" w:rsidRPr="00537BB1" w:rsidRDefault="003C2B76" w:rsidP="003C2B76">
      <w:pPr>
        <w:rPr>
          <w:rFonts w:ascii="Calibri" w:hAnsi="Calibri" w:cs="Calibri"/>
          <w:b/>
          <w:bCs/>
          <w:sz w:val="22"/>
          <w:szCs w:val="22"/>
        </w:rPr>
      </w:pPr>
      <w:r w:rsidRPr="00537BB1">
        <w:rPr>
          <w:rFonts w:ascii="Calibri" w:hAnsi="Calibri" w:cs="Calibri"/>
          <w:b/>
          <w:bCs/>
          <w:sz w:val="22"/>
          <w:szCs w:val="22"/>
        </w:rPr>
        <w:t>Governance and Roles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0"/>
        <w:gridCol w:w="6916"/>
      </w:tblGrid>
      <w:tr w:rsidR="003C2B76" w:rsidRPr="00537BB1" w14:paraId="2902FB5B" w14:textId="77777777" w:rsidTr="009447EB">
        <w:trPr>
          <w:tblHeader/>
          <w:tblCellSpacing w:w="15" w:type="dxa"/>
        </w:trPr>
        <w:tc>
          <w:tcPr>
            <w:tcW w:w="0" w:type="auto"/>
            <w:vAlign w:val="center"/>
          </w:tcPr>
          <w:p w14:paraId="0D025F00" w14:textId="77777777" w:rsidR="003C2B76" w:rsidRPr="00537BB1" w:rsidRDefault="003C2B76" w:rsidP="009447EB">
            <w:pPr>
              <w:rPr>
                <w:rFonts w:ascii="Calibri" w:hAnsi="Calibri" w:cs="Calibri"/>
                <w:b/>
                <w:bCs/>
                <w:sz w:val="22"/>
                <w:szCs w:val="22"/>
              </w:rPr>
            </w:pPr>
            <w:r w:rsidRPr="00537BB1">
              <w:rPr>
                <w:rFonts w:ascii="Calibri" w:hAnsi="Calibri" w:cs="Calibri"/>
                <w:b/>
                <w:bCs/>
                <w:sz w:val="22"/>
                <w:szCs w:val="22"/>
              </w:rPr>
              <w:t>Partner</w:t>
            </w:r>
          </w:p>
        </w:tc>
        <w:tc>
          <w:tcPr>
            <w:tcW w:w="0" w:type="auto"/>
            <w:vAlign w:val="center"/>
          </w:tcPr>
          <w:p w14:paraId="2F033487" w14:textId="77777777" w:rsidR="003C2B76" w:rsidRPr="00537BB1" w:rsidRDefault="003C2B76" w:rsidP="009447EB">
            <w:pPr>
              <w:rPr>
                <w:rFonts w:ascii="Calibri" w:hAnsi="Calibri" w:cs="Calibri"/>
                <w:b/>
                <w:bCs/>
                <w:sz w:val="22"/>
                <w:szCs w:val="22"/>
              </w:rPr>
            </w:pPr>
            <w:r w:rsidRPr="00537BB1">
              <w:rPr>
                <w:rFonts w:ascii="Calibri" w:hAnsi="Calibri" w:cs="Calibri"/>
                <w:b/>
                <w:bCs/>
                <w:sz w:val="22"/>
                <w:szCs w:val="22"/>
              </w:rPr>
              <w:t>Role / Responsibility</w:t>
            </w:r>
          </w:p>
        </w:tc>
      </w:tr>
      <w:tr w:rsidR="003C2B76" w:rsidRPr="00537BB1" w14:paraId="1CC8FEDC" w14:textId="77777777" w:rsidTr="009447EB">
        <w:trPr>
          <w:tblCellSpacing w:w="15" w:type="dxa"/>
        </w:trPr>
        <w:tc>
          <w:tcPr>
            <w:tcW w:w="0" w:type="auto"/>
            <w:vAlign w:val="center"/>
          </w:tcPr>
          <w:p w14:paraId="7271A381" w14:textId="77777777" w:rsidR="003C2B76" w:rsidRPr="00537BB1" w:rsidRDefault="003C2B76" w:rsidP="009447EB">
            <w:pPr>
              <w:rPr>
                <w:rFonts w:ascii="Calibri" w:hAnsi="Calibri" w:cs="Calibri"/>
                <w:sz w:val="22"/>
                <w:szCs w:val="22"/>
              </w:rPr>
            </w:pPr>
            <w:r w:rsidRPr="00537BB1">
              <w:rPr>
                <w:rFonts w:ascii="Calibri" w:hAnsi="Calibri" w:cs="Calibri"/>
                <w:b/>
                <w:bCs/>
                <w:sz w:val="22"/>
                <w:szCs w:val="22"/>
              </w:rPr>
              <w:t>CAJ</w:t>
            </w:r>
          </w:p>
        </w:tc>
        <w:tc>
          <w:tcPr>
            <w:tcW w:w="0" w:type="auto"/>
            <w:vAlign w:val="center"/>
          </w:tcPr>
          <w:p w14:paraId="0C9A76B7" w14:textId="77777777" w:rsidR="003C2B76" w:rsidRPr="00537BB1" w:rsidRDefault="003C2B76" w:rsidP="009447EB">
            <w:pPr>
              <w:rPr>
                <w:rFonts w:ascii="Calibri" w:hAnsi="Calibri" w:cs="Calibri"/>
                <w:sz w:val="22"/>
                <w:szCs w:val="22"/>
              </w:rPr>
            </w:pPr>
            <w:r w:rsidRPr="00537BB1">
              <w:rPr>
                <w:rFonts w:ascii="Calibri" w:hAnsi="Calibri" w:cs="Calibri"/>
                <w:sz w:val="22"/>
                <w:szCs w:val="22"/>
              </w:rPr>
              <w:t>Project coordination and oversight; drafting of ToR, policy framing and final report; lead liaison with panel and legal frameworks.</w:t>
            </w:r>
          </w:p>
        </w:tc>
      </w:tr>
      <w:tr w:rsidR="003C2B76" w:rsidRPr="00537BB1" w14:paraId="61045BD1" w14:textId="77777777" w:rsidTr="009447EB">
        <w:trPr>
          <w:tblCellSpacing w:w="15" w:type="dxa"/>
        </w:trPr>
        <w:tc>
          <w:tcPr>
            <w:tcW w:w="0" w:type="auto"/>
            <w:vAlign w:val="center"/>
          </w:tcPr>
          <w:p w14:paraId="65E5F01F" w14:textId="77777777" w:rsidR="003C2B76" w:rsidRPr="00537BB1" w:rsidRDefault="003C2B76" w:rsidP="009447EB">
            <w:pPr>
              <w:rPr>
                <w:rFonts w:ascii="Calibri" w:hAnsi="Calibri" w:cs="Calibri"/>
                <w:sz w:val="22"/>
                <w:szCs w:val="22"/>
              </w:rPr>
            </w:pPr>
            <w:r w:rsidRPr="00537BB1">
              <w:rPr>
                <w:rFonts w:ascii="Calibri" w:hAnsi="Calibri" w:cs="Calibri"/>
                <w:b/>
                <w:bCs/>
                <w:sz w:val="22"/>
                <w:szCs w:val="22"/>
              </w:rPr>
              <w:t>The Gathering</w:t>
            </w:r>
          </w:p>
        </w:tc>
        <w:tc>
          <w:tcPr>
            <w:tcW w:w="0" w:type="auto"/>
            <w:vAlign w:val="center"/>
          </w:tcPr>
          <w:p w14:paraId="4139C9ED" w14:textId="77777777" w:rsidR="003C2B76" w:rsidRPr="00537BB1" w:rsidRDefault="003C2B76" w:rsidP="009447EB">
            <w:pPr>
              <w:rPr>
                <w:rFonts w:ascii="Calibri" w:hAnsi="Calibri" w:cs="Calibri"/>
                <w:sz w:val="22"/>
                <w:szCs w:val="22"/>
              </w:rPr>
            </w:pPr>
            <w:r w:rsidRPr="00537BB1">
              <w:rPr>
                <w:rFonts w:ascii="Calibri" w:hAnsi="Calibri" w:cs="Calibri"/>
                <w:sz w:val="22"/>
                <w:szCs w:val="22"/>
              </w:rPr>
              <w:t>Community mobilisation and outreach; coordination of public engagement and evidence collection; logistical organisation of events.</w:t>
            </w:r>
          </w:p>
        </w:tc>
      </w:tr>
      <w:tr w:rsidR="003C2B76" w:rsidRPr="00537BB1" w14:paraId="3B0CE72D" w14:textId="77777777" w:rsidTr="009447EB">
        <w:trPr>
          <w:tblCellSpacing w:w="15" w:type="dxa"/>
        </w:trPr>
        <w:tc>
          <w:tcPr>
            <w:tcW w:w="0" w:type="auto"/>
            <w:vAlign w:val="center"/>
          </w:tcPr>
          <w:p w14:paraId="7F434F24" w14:textId="77777777" w:rsidR="003C2B76" w:rsidRPr="00537BB1" w:rsidRDefault="003C2B76" w:rsidP="009447EB">
            <w:pPr>
              <w:rPr>
                <w:rFonts w:ascii="Calibri" w:hAnsi="Calibri" w:cs="Calibri"/>
                <w:sz w:val="22"/>
                <w:szCs w:val="22"/>
              </w:rPr>
            </w:pPr>
            <w:r w:rsidRPr="00537BB1">
              <w:rPr>
                <w:rFonts w:ascii="Calibri" w:hAnsi="Calibri" w:cs="Calibri"/>
                <w:b/>
                <w:bCs/>
                <w:sz w:val="22"/>
                <w:szCs w:val="22"/>
              </w:rPr>
              <w:t>PILS</w:t>
            </w:r>
          </w:p>
        </w:tc>
        <w:tc>
          <w:tcPr>
            <w:tcW w:w="0" w:type="auto"/>
            <w:vAlign w:val="center"/>
          </w:tcPr>
          <w:p w14:paraId="54401FB3" w14:textId="77777777" w:rsidR="003C2B76" w:rsidRPr="00537BB1" w:rsidRDefault="003C2B76" w:rsidP="009447EB">
            <w:pPr>
              <w:rPr>
                <w:rFonts w:ascii="Calibri" w:hAnsi="Calibri" w:cs="Calibri"/>
                <w:sz w:val="22"/>
                <w:szCs w:val="22"/>
              </w:rPr>
            </w:pPr>
            <w:r w:rsidRPr="00537BB1">
              <w:rPr>
                <w:rFonts w:ascii="Calibri" w:hAnsi="Calibri" w:cs="Calibri"/>
                <w:sz w:val="22"/>
                <w:szCs w:val="22"/>
              </w:rPr>
              <w:t>Paralegal and procedural support; clerking for the Panel; witness scheduling and guidance; management of written evidence and submissions.</w:t>
            </w:r>
          </w:p>
        </w:tc>
      </w:tr>
      <w:tr w:rsidR="003C2B76" w:rsidRPr="00537BB1" w14:paraId="3639037E" w14:textId="77777777" w:rsidTr="009447EB">
        <w:trPr>
          <w:tblCellSpacing w:w="15" w:type="dxa"/>
        </w:trPr>
        <w:tc>
          <w:tcPr>
            <w:tcW w:w="0" w:type="auto"/>
            <w:vAlign w:val="center"/>
          </w:tcPr>
          <w:p w14:paraId="790D7852" w14:textId="77777777" w:rsidR="003C2B76" w:rsidRPr="00537BB1" w:rsidRDefault="003C2B76" w:rsidP="009447EB">
            <w:pPr>
              <w:rPr>
                <w:rFonts w:ascii="Calibri" w:hAnsi="Calibri" w:cs="Calibri"/>
                <w:sz w:val="22"/>
                <w:szCs w:val="22"/>
              </w:rPr>
            </w:pPr>
            <w:r w:rsidRPr="00537BB1">
              <w:rPr>
                <w:rFonts w:ascii="Calibri" w:hAnsi="Calibri" w:cs="Calibri"/>
                <w:b/>
                <w:bCs/>
                <w:sz w:val="22"/>
                <w:szCs w:val="22"/>
              </w:rPr>
              <w:t>EJNI / FOE</w:t>
            </w:r>
          </w:p>
        </w:tc>
        <w:tc>
          <w:tcPr>
            <w:tcW w:w="0" w:type="auto"/>
            <w:vAlign w:val="center"/>
          </w:tcPr>
          <w:p w14:paraId="14CDCCDD" w14:textId="77777777" w:rsidR="003C2B76" w:rsidRPr="00537BB1" w:rsidRDefault="003C2B76" w:rsidP="009447EB">
            <w:pPr>
              <w:rPr>
                <w:rFonts w:ascii="Calibri" w:hAnsi="Calibri" w:cs="Calibri"/>
                <w:sz w:val="22"/>
                <w:szCs w:val="22"/>
              </w:rPr>
            </w:pPr>
            <w:r w:rsidRPr="00537BB1">
              <w:rPr>
                <w:rFonts w:ascii="Calibri" w:hAnsi="Calibri" w:cs="Calibri"/>
                <w:sz w:val="22"/>
                <w:szCs w:val="22"/>
              </w:rPr>
              <w:t>Expert advisory input; identification of panellists; thematic research and analysis support.</w:t>
            </w:r>
          </w:p>
        </w:tc>
      </w:tr>
      <w:tr w:rsidR="003C2B76" w:rsidRPr="00537BB1" w14:paraId="37361336" w14:textId="77777777" w:rsidTr="009447EB">
        <w:trPr>
          <w:tblCellSpacing w:w="15" w:type="dxa"/>
        </w:trPr>
        <w:tc>
          <w:tcPr>
            <w:tcW w:w="0" w:type="auto"/>
            <w:vAlign w:val="center"/>
          </w:tcPr>
          <w:p w14:paraId="4447BE02" w14:textId="77777777" w:rsidR="003C2B76" w:rsidRPr="00537BB1" w:rsidRDefault="003C2B76" w:rsidP="009447EB">
            <w:pPr>
              <w:rPr>
                <w:rFonts w:ascii="Calibri" w:hAnsi="Calibri" w:cs="Calibri"/>
                <w:sz w:val="22"/>
                <w:szCs w:val="22"/>
              </w:rPr>
            </w:pPr>
            <w:r w:rsidRPr="00537BB1">
              <w:rPr>
                <w:rFonts w:ascii="Calibri" w:hAnsi="Calibri" w:cs="Calibri"/>
                <w:b/>
                <w:bCs/>
                <w:sz w:val="22"/>
                <w:szCs w:val="22"/>
              </w:rPr>
              <w:t>Community Representatives</w:t>
            </w:r>
          </w:p>
        </w:tc>
        <w:tc>
          <w:tcPr>
            <w:tcW w:w="0" w:type="auto"/>
            <w:vAlign w:val="center"/>
          </w:tcPr>
          <w:p w14:paraId="0F512646" w14:textId="77777777" w:rsidR="003C2B76" w:rsidRPr="00537BB1" w:rsidRDefault="003C2B76" w:rsidP="009447EB">
            <w:pPr>
              <w:rPr>
                <w:rFonts w:ascii="Calibri" w:hAnsi="Calibri" w:cs="Calibri"/>
                <w:sz w:val="22"/>
                <w:szCs w:val="22"/>
              </w:rPr>
            </w:pPr>
            <w:r w:rsidRPr="00537BB1">
              <w:rPr>
                <w:rFonts w:ascii="Calibri" w:hAnsi="Calibri" w:cs="Calibri"/>
                <w:sz w:val="22"/>
                <w:szCs w:val="22"/>
              </w:rPr>
              <w:t>Participation through testimony, evidence submission and public engagement activities.</w:t>
            </w:r>
          </w:p>
        </w:tc>
      </w:tr>
    </w:tbl>
    <w:p w14:paraId="308BD8E8" w14:textId="77777777" w:rsidR="003C2B76" w:rsidRPr="00537BB1" w:rsidRDefault="003C2B76" w:rsidP="003C2B76">
      <w:pPr>
        <w:rPr>
          <w:rFonts w:ascii="Calibri" w:hAnsi="Calibri" w:cs="Calibri"/>
          <w:sz w:val="22"/>
          <w:szCs w:val="22"/>
        </w:rPr>
      </w:pPr>
    </w:p>
    <w:p w14:paraId="000D1167" w14:textId="77777777" w:rsidR="003C2B76" w:rsidRPr="00E34453" w:rsidRDefault="003C2B76" w:rsidP="003C2B76">
      <w:pPr>
        <w:rPr>
          <w:rFonts w:ascii="Calibri" w:hAnsi="Calibri" w:cs="Calibri"/>
          <w:b/>
          <w:bCs/>
          <w:sz w:val="22"/>
          <w:szCs w:val="22"/>
        </w:rPr>
      </w:pPr>
      <w:r w:rsidRPr="00E34453">
        <w:rPr>
          <w:rFonts w:ascii="Calibri" w:hAnsi="Calibri" w:cs="Calibri"/>
          <w:b/>
          <w:bCs/>
          <w:sz w:val="22"/>
          <w:szCs w:val="22"/>
        </w:rPr>
        <w:t>Safeguarding and Confidentiality</w:t>
      </w:r>
    </w:p>
    <w:p w14:paraId="10615D16" w14:textId="77777777" w:rsidR="003C2B76" w:rsidRDefault="003C2B76" w:rsidP="003C2B76">
      <w:pPr>
        <w:rPr>
          <w:rFonts w:ascii="Calibri" w:hAnsi="Calibri" w:cs="Calibri"/>
          <w:sz w:val="22"/>
          <w:szCs w:val="22"/>
        </w:rPr>
      </w:pPr>
      <w:r w:rsidRPr="00E34453">
        <w:rPr>
          <w:rFonts w:ascii="Calibri" w:hAnsi="Calibri" w:cs="Calibri"/>
          <w:sz w:val="22"/>
          <w:szCs w:val="22"/>
        </w:rPr>
        <w:t xml:space="preserve">All participants and witnesses will be treated in accordance with </w:t>
      </w:r>
      <w:r w:rsidRPr="00E34453">
        <w:rPr>
          <w:rFonts w:ascii="Calibri" w:hAnsi="Calibri" w:cs="Calibri"/>
          <w:b/>
          <w:bCs/>
          <w:sz w:val="22"/>
          <w:szCs w:val="22"/>
        </w:rPr>
        <w:t>safeguarding</w:t>
      </w:r>
      <w:r>
        <w:rPr>
          <w:rFonts w:ascii="Calibri" w:hAnsi="Calibri" w:cs="Calibri"/>
          <w:b/>
          <w:bCs/>
          <w:sz w:val="22"/>
          <w:szCs w:val="22"/>
        </w:rPr>
        <w:t>, confidentiality</w:t>
      </w:r>
      <w:r w:rsidRPr="00E34453">
        <w:rPr>
          <w:rFonts w:ascii="Calibri" w:hAnsi="Calibri" w:cs="Calibri"/>
          <w:b/>
          <w:bCs/>
          <w:sz w:val="22"/>
          <w:szCs w:val="22"/>
        </w:rPr>
        <w:t xml:space="preserve"> and data protection</w:t>
      </w:r>
      <w:r w:rsidRPr="00E34453">
        <w:rPr>
          <w:rFonts w:ascii="Calibri" w:hAnsi="Calibri" w:cs="Calibri"/>
          <w:sz w:val="22"/>
          <w:szCs w:val="22"/>
        </w:rPr>
        <w:t xml:space="preserve"> </w:t>
      </w:r>
      <w:r w:rsidRPr="00E34453">
        <w:rPr>
          <w:rFonts w:ascii="Calibri" w:hAnsi="Calibri" w:cs="Calibri"/>
          <w:b/>
          <w:bCs/>
          <w:sz w:val="22"/>
          <w:szCs w:val="22"/>
        </w:rPr>
        <w:t>principles</w:t>
      </w:r>
      <w:r w:rsidRPr="00E34453">
        <w:rPr>
          <w:rFonts w:ascii="Calibri" w:hAnsi="Calibri" w:cs="Calibri"/>
          <w:sz w:val="22"/>
          <w:szCs w:val="22"/>
        </w:rPr>
        <w:t xml:space="preserve">. Sensitive information will be handled with discretion and identifying </w:t>
      </w:r>
      <w:r w:rsidRPr="00E34453">
        <w:rPr>
          <w:rFonts w:ascii="Calibri" w:hAnsi="Calibri" w:cs="Calibri"/>
          <w:sz w:val="22"/>
          <w:szCs w:val="22"/>
        </w:rPr>
        <w:lastRenderedPageBreak/>
        <w:t xml:space="preserve">details may be redacted where necessary to protect privacy and personal safety. All evidence will be processed in line with </w:t>
      </w:r>
      <w:r w:rsidRPr="00E34453">
        <w:rPr>
          <w:rFonts w:ascii="Calibri" w:hAnsi="Calibri" w:cs="Calibri"/>
          <w:b/>
          <w:bCs/>
          <w:sz w:val="22"/>
          <w:szCs w:val="22"/>
        </w:rPr>
        <w:t>GDPR</w:t>
      </w:r>
      <w:r w:rsidRPr="00E34453">
        <w:rPr>
          <w:rFonts w:ascii="Calibri" w:hAnsi="Calibri" w:cs="Calibri"/>
          <w:sz w:val="22"/>
          <w:szCs w:val="22"/>
        </w:rPr>
        <w:t xml:space="preserve"> and good </w:t>
      </w:r>
      <w:r w:rsidRPr="00E34453">
        <w:rPr>
          <w:rFonts w:ascii="Calibri" w:hAnsi="Calibri" w:cs="Calibri"/>
          <w:b/>
          <w:bCs/>
          <w:sz w:val="22"/>
          <w:szCs w:val="22"/>
        </w:rPr>
        <w:t>ethical practice</w:t>
      </w:r>
      <w:r w:rsidRPr="00E34453">
        <w:rPr>
          <w:rFonts w:ascii="Calibri" w:hAnsi="Calibri" w:cs="Calibri"/>
          <w:sz w:val="22"/>
          <w:szCs w:val="22"/>
        </w:rPr>
        <w:t xml:space="preserve"> for handling testimony.</w:t>
      </w:r>
    </w:p>
    <w:p w14:paraId="023CBF1B" w14:textId="77777777" w:rsidR="003C2B76" w:rsidRPr="00846AB6" w:rsidRDefault="003C2B76" w:rsidP="003C2B76">
      <w:pPr>
        <w:rPr>
          <w:rFonts w:ascii="Calibri" w:hAnsi="Calibri" w:cs="Calibri"/>
          <w:b/>
          <w:bCs/>
          <w:sz w:val="22"/>
          <w:szCs w:val="22"/>
        </w:rPr>
      </w:pPr>
      <w:r w:rsidRPr="00846AB6">
        <w:rPr>
          <w:rFonts w:ascii="Calibri" w:hAnsi="Calibri" w:cs="Calibri"/>
          <w:b/>
          <w:bCs/>
          <w:sz w:val="22"/>
          <w:szCs w:val="22"/>
        </w:rPr>
        <w:t>Legal Protections and Responsible Conduct</w:t>
      </w:r>
    </w:p>
    <w:p w14:paraId="6F7C3316" w14:textId="77777777" w:rsidR="003C2B76" w:rsidRPr="00846AB6" w:rsidRDefault="003C2B76" w:rsidP="003C2B76">
      <w:pPr>
        <w:rPr>
          <w:rFonts w:ascii="Calibri" w:hAnsi="Calibri" w:cs="Calibri"/>
          <w:sz w:val="22"/>
          <w:szCs w:val="22"/>
        </w:rPr>
      </w:pPr>
      <w:r w:rsidRPr="00846AB6">
        <w:rPr>
          <w:rFonts w:ascii="Calibri" w:hAnsi="Calibri" w:cs="Calibri"/>
          <w:sz w:val="22"/>
          <w:szCs w:val="22"/>
        </w:rPr>
        <w:t xml:space="preserve">The Mobuoy Community Inquiry will operate on the principles of fairness, respect and accountability in the handling of all information. All testimony and submissions must be made </w:t>
      </w:r>
      <w:r w:rsidRPr="00846AB6">
        <w:rPr>
          <w:rFonts w:ascii="Calibri" w:hAnsi="Calibri" w:cs="Calibri"/>
          <w:b/>
          <w:bCs/>
          <w:sz w:val="22"/>
          <w:szCs w:val="22"/>
        </w:rPr>
        <w:t>in good faith</w:t>
      </w:r>
      <w:r w:rsidRPr="00846AB6">
        <w:rPr>
          <w:rFonts w:ascii="Calibri" w:hAnsi="Calibri" w:cs="Calibri"/>
          <w:sz w:val="22"/>
          <w:szCs w:val="22"/>
        </w:rPr>
        <w:t xml:space="preserve"> and, where possible, supported by verifiable evidence.</w:t>
      </w:r>
    </w:p>
    <w:p w14:paraId="0AC0B732" w14:textId="77777777" w:rsidR="003C2B76" w:rsidRPr="00846AB6" w:rsidRDefault="003C2B76" w:rsidP="003C2B76">
      <w:pPr>
        <w:rPr>
          <w:rFonts w:ascii="Calibri" w:hAnsi="Calibri" w:cs="Calibri"/>
          <w:sz w:val="22"/>
          <w:szCs w:val="22"/>
        </w:rPr>
      </w:pPr>
      <w:r w:rsidRPr="00846AB6">
        <w:rPr>
          <w:rFonts w:ascii="Calibri" w:hAnsi="Calibri" w:cs="Calibri"/>
          <w:sz w:val="22"/>
          <w:szCs w:val="22"/>
        </w:rPr>
        <w:t xml:space="preserve">The </w:t>
      </w:r>
      <w:r>
        <w:rPr>
          <w:rFonts w:ascii="Calibri" w:hAnsi="Calibri" w:cs="Calibri"/>
          <w:sz w:val="22"/>
          <w:szCs w:val="22"/>
        </w:rPr>
        <w:t xml:space="preserve">Community </w:t>
      </w:r>
      <w:r w:rsidRPr="00846AB6">
        <w:rPr>
          <w:rFonts w:ascii="Calibri" w:hAnsi="Calibri" w:cs="Calibri"/>
          <w:sz w:val="22"/>
          <w:szCs w:val="22"/>
        </w:rPr>
        <w:t>Inquiry, its organisers and partners will take reasonable steps to ensure that all statements or allegations presented are framed responsibly, avoiding defamatory or unfounded claims against individuals or organisations.</w:t>
      </w:r>
    </w:p>
    <w:p w14:paraId="1E40B63C" w14:textId="77777777" w:rsidR="003C2B76" w:rsidRPr="00846AB6" w:rsidRDefault="003C2B76" w:rsidP="003C2B76">
      <w:pPr>
        <w:rPr>
          <w:rFonts w:ascii="Calibri" w:hAnsi="Calibri" w:cs="Calibri"/>
          <w:sz w:val="22"/>
          <w:szCs w:val="22"/>
        </w:rPr>
      </w:pPr>
      <w:r w:rsidRPr="00846AB6">
        <w:rPr>
          <w:rFonts w:ascii="Calibri" w:hAnsi="Calibri" w:cs="Calibri"/>
          <w:sz w:val="22"/>
          <w:szCs w:val="22"/>
        </w:rPr>
        <w:t xml:space="preserve">Panellists, witnesses and contributors are reminded that the Inquiry </w:t>
      </w:r>
      <w:r w:rsidRPr="009D173F">
        <w:rPr>
          <w:rFonts w:ascii="Calibri" w:hAnsi="Calibri" w:cs="Calibri"/>
          <w:b/>
          <w:bCs/>
          <w:i/>
          <w:iCs/>
          <w:sz w:val="22"/>
          <w:szCs w:val="22"/>
        </w:rPr>
        <w:t>does not</w:t>
      </w:r>
      <w:r w:rsidRPr="00846AB6">
        <w:rPr>
          <w:rFonts w:ascii="Calibri" w:hAnsi="Calibri" w:cs="Calibri"/>
          <w:b/>
          <w:bCs/>
          <w:sz w:val="22"/>
          <w:szCs w:val="22"/>
        </w:rPr>
        <w:t xml:space="preserve"> have statutory powers</w:t>
      </w:r>
      <w:r w:rsidRPr="00846AB6">
        <w:rPr>
          <w:rFonts w:ascii="Calibri" w:hAnsi="Calibri" w:cs="Calibri"/>
          <w:sz w:val="22"/>
          <w:szCs w:val="22"/>
        </w:rPr>
        <w:t xml:space="preserve"> and operates within the bounds of existing law, including defamation</w:t>
      </w:r>
      <w:r>
        <w:rPr>
          <w:rFonts w:ascii="Calibri" w:hAnsi="Calibri" w:cs="Calibri"/>
          <w:sz w:val="22"/>
          <w:szCs w:val="22"/>
        </w:rPr>
        <w:t>, whistleblowing</w:t>
      </w:r>
      <w:r w:rsidRPr="00846AB6">
        <w:rPr>
          <w:rFonts w:ascii="Calibri" w:hAnsi="Calibri" w:cs="Calibri"/>
          <w:sz w:val="22"/>
          <w:szCs w:val="22"/>
        </w:rPr>
        <w:t xml:space="preserve"> and data-protection</w:t>
      </w:r>
      <w:r>
        <w:rPr>
          <w:rFonts w:ascii="Calibri" w:hAnsi="Calibri" w:cs="Calibri"/>
          <w:sz w:val="22"/>
          <w:szCs w:val="22"/>
        </w:rPr>
        <w:t xml:space="preserve"> policies and</w:t>
      </w:r>
      <w:r w:rsidRPr="00846AB6">
        <w:rPr>
          <w:rFonts w:ascii="Calibri" w:hAnsi="Calibri" w:cs="Calibri"/>
          <w:sz w:val="22"/>
          <w:szCs w:val="22"/>
        </w:rPr>
        <w:t xml:space="preserve"> legislation. Where potentially sensitive or contested evidence is raised, the </w:t>
      </w:r>
      <w:r>
        <w:rPr>
          <w:rFonts w:ascii="Calibri" w:hAnsi="Calibri" w:cs="Calibri"/>
          <w:sz w:val="22"/>
          <w:szCs w:val="22"/>
        </w:rPr>
        <w:t>p</w:t>
      </w:r>
      <w:r w:rsidRPr="00846AB6">
        <w:rPr>
          <w:rFonts w:ascii="Calibri" w:hAnsi="Calibri" w:cs="Calibri"/>
          <w:sz w:val="22"/>
          <w:szCs w:val="22"/>
        </w:rPr>
        <w:t>anel reserves the right to request further verification, anonymise testimony or redact material to prevent harm.</w:t>
      </w:r>
    </w:p>
    <w:p w14:paraId="339BD0B3" w14:textId="77777777" w:rsidR="003C2B76" w:rsidRPr="001B00BB" w:rsidRDefault="003C2B76" w:rsidP="003C2B76">
      <w:pPr>
        <w:rPr>
          <w:rFonts w:ascii="Calibri" w:hAnsi="Calibri" w:cs="Calibri"/>
          <w:b/>
          <w:bCs/>
          <w:sz w:val="22"/>
          <w:szCs w:val="22"/>
        </w:rPr>
      </w:pPr>
      <w:r w:rsidRPr="001B00BB">
        <w:rPr>
          <w:rFonts w:ascii="Calibri" w:hAnsi="Calibri" w:cs="Calibri"/>
          <w:b/>
          <w:bCs/>
          <w:sz w:val="22"/>
          <w:szCs w:val="22"/>
        </w:rPr>
        <w:t>Equality and Inclusion</w:t>
      </w:r>
    </w:p>
    <w:p w14:paraId="7BA21FA4" w14:textId="77777777" w:rsidR="003C2B76" w:rsidRDefault="003C2B76" w:rsidP="003C2B76">
      <w:pPr>
        <w:rPr>
          <w:rFonts w:ascii="Calibri" w:hAnsi="Calibri" w:cs="Calibri"/>
          <w:sz w:val="22"/>
          <w:szCs w:val="22"/>
        </w:rPr>
      </w:pPr>
      <w:r w:rsidRPr="001B00BB">
        <w:rPr>
          <w:rFonts w:ascii="Calibri" w:hAnsi="Calibri" w:cs="Calibri"/>
          <w:sz w:val="22"/>
          <w:szCs w:val="22"/>
        </w:rPr>
        <w:t xml:space="preserve">The Community </w:t>
      </w:r>
      <w:r>
        <w:rPr>
          <w:rFonts w:ascii="Calibri" w:hAnsi="Calibri" w:cs="Calibri"/>
          <w:sz w:val="22"/>
          <w:szCs w:val="22"/>
        </w:rPr>
        <w:t>Inquiry</w:t>
      </w:r>
      <w:r w:rsidRPr="001B00BB">
        <w:rPr>
          <w:rFonts w:ascii="Calibri" w:hAnsi="Calibri" w:cs="Calibri"/>
          <w:sz w:val="22"/>
          <w:szCs w:val="22"/>
        </w:rPr>
        <w:t xml:space="preserve"> will ensure </w:t>
      </w:r>
      <w:r w:rsidRPr="001B00BB">
        <w:rPr>
          <w:rFonts w:ascii="Calibri" w:hAnsi="Calibri" w:cs="Calibri"/>
          <w:b/>
          <w:bCs/>
          <w:sz w:val="22"/>
          <w:szCs w:val="22"/>
        </w:rPr>
        <w:t>equitable participation</w:t>
      </w:r>
      <w:r w:rsidRPr="001B00BB">
        <w:rPr>
          <w:rFonts w:ascii="Calibri" w:hAnsi="Calibri" w:cs="Calibri"/>
          <w:sz w:val="22"/>
          <w:szCs w:val="22"/>
        </w:rPr>
        <w:t xml:space="preserve"> and </w:t>
      </w:r>
      <w:r w:rsidRPr="001B00BB">
        <w:rPr>
          <w:rFonts w:ascii="Calibri" w:hAnsi="Calibri" w:cs="Calibri"/>
          <w:b/>
          <w:bCs/>
          <w:sz w:val="22"/>
          <w:szCs w:val="22"/>
        </w:rPr>
        <w:t>representation</w:t>
      </w:r>
      <w:r w:rsidRPr="001B00BB">
        <w:rPr>
          <w:rFonts w:ascii="Calibri" w:hAnsi="Calibri" w:cs="Calibri"/>
          <w:sz w:val="22"/>
          <w:szCs w:val="22"/>
        </w:rPr>
        <w:t xml:space="preserve"> across community backgrounds. Every effort will be made to ensure </w:t>
      </w:r>
      <w:r w:rsidRPr="001B00BB">
        <w:rPr>
          <w:rFonts w:ascii="Calibri" w:hAnsi="Calibri" w:cs="Calibri"/>
          <w:b/>
          <w:bCs/>
          <w:sz w:val="22"/>
          <w:szCs w:val="22"/>
        </w:rPr>
        <w:t>accessibility</w:t>
      </w:r>
      <w:r w:rsidRPr="001B00BB">
        <w:rPr>
          <w:rFonts w:ascii="Calibri" w:hAnsi="Calibri" w:cs="Calibri"/>
          <w:sz w:val="22"/>
          <w:szCs w:val="22"/>
        </w:rPr>
        <w:t xml:space="preserve"> in both venue and format, including accommodations for language, disability and digital participation. The process will reflect the duties and spirit of </w:t>
      </w:r>
      <w:r w:rsidRPr="001B00BB">
        <w:rPr>
          <w:rFonts w:ascii="Calibri" w:hAnsi="Calibri" w:cs="Calibri"/>
          <w:b/>
          <w:bCs/>
          <w:sz w:val="22"/>
          <w:szCs w:val="22"/>
        </w:rPr>
        <w:t>Section 75</w:t>
      </w:r>
      <w:r w:rsidRPr="001B00BB">
        <w:rPr>
          <w:rFonts w:ascii="Calibri" w:hAnsi="Calibri" w:cs="Calibri"/>
          <w:sz w:val="22"/>
          <w:szCs w:val="22"/>
        </w:rPr>
        <w:t xml:space="preserve"> of the Northern Ireland Act 1998.</w:t>
      </w:r>
    </w:p>
    <w:p w14:paraId="15A4D4C3" w14:textId="77777777" w:rsidR="003C2B76" w:rsidRPr="003C1E06" w:rsidRDefault="003C2B76" w:rsidP="003C2B76">
      <w:pPr>
        <w:rPr>
          <w:rFonts w:ascii="Calibri" w:hAnsi="Calibri" w:cs="Calibri"/>
          <w:b/>
          <w:bCs/>
          <w:sz w:val="22"/>
          <w:szCs w:val="22"/>
        </w:rPr>
      </w:pPr>
      <w:r w:rsidRPr="003C1E06">
        <w:rPr>
          <w:rFonts w:ascii="Calibri" w:hAnsi="Calibri" w:cs="Calibri"/>
          <w:b/>
          <w:bCs/>
          <w:sz w:val="22"/>
          <w:szCs w:val="22"/>
        </w:rPr>
        <w:t>Review and Amendment</w:t>
      </w:r>
    </w:p>
    <w:p w14:paraId="6F82EBD1" w14:textId="3789B205" w:rsidR="003C2B76" w:rsidRPr="003C1E06" w:rsidRDefault="00721B4C" w:rsidP="003C2B76">
      <w:pPr>
        <w:rPr>
          <w:rFonts w:ascii="Calibri" w:hAnsi="Calibri" w:cs="Calibri"/>
          <w:sz w:val="22"/>
          <w:szCs w:val="22"/>
        </w:rPr>
      </w:pPr>
      <w:r>
        <w:rPr>
          <w:rFonts w:ascii="Calibri" w:hAnsi="Calibri" w:cs="Calibri"/>
          <w:sz w:val="22"/>
          <w:szCs w:val="22"/>
        </w:rPr>
        <w:t xml:space="preserve">Inquiry procedures and the Terms of Reference </w:t>
      </w:r>
      <w:r w:rsidR="003C2B76" w:rsidRPr="003C1E06">
        <w:rPr>
          <w:rFonts w:ascii="Calibri" w:hAnsi="Calibri" w:cs="Calibri"/>
          <w:sz w:val="22"/>
          <w:szCs w:val="22"/>
        </w:rPr>
        <w:t>may be reviewed and amended by consensus among the partner organisations as planning progresses. Amendments must preserve the independence, transparency and fairness of the process.</w:t>
      </w:r>
    </w:p>
    <w:p w14:paraId="6F1EC352" w14:textId="77777777" w:rsidR="008F1A91" w:rsidRPr="001B2F1D" w:rsidRDefault="008F1A91" w:rsidP="001B2F1D"/>
    <w:sectPr w:rsidR="008F1A91" w:rsidRPr="001B2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556A"/>
    <w:multiLevelType w:val="hybridMultilevel"/>
    <w:tmpl w:val="3C10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26335"/>
    <w:multiLevelType w:val="hybridMultilevel"/>
    <w:tmpl w:val="65A4A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00EFB"/>
    <w:multiLevelType w:val="multilevel"/>
    <w:tmpl w:val="E92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553A1"/>
    <w:multiLevelType w:val="multilevel"/>
    <w:tmpl w:val="C83069AC"/>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550111">
    <w:abstractNumId w:val="3"/>
  </w:num>
  <w:num w:numId="2" w16cid:durableId="453646167">
    <w:abstractNumId w:val="2"/>
  </w:num>
  <w:num w:numId="3" w16cid:durableId="1403138738">
    <w:abstractNumId w:val="1"/>
  </w:num>
  <w:num w:numId="4" w16cid:durableId="191138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4"/>
    <w:rsid w:val="000D08A2"/>
    <w:rsid w:val="00142556"/>
    <w:rsid w:val="001B2F1D"/>
    <w:rsid w:val="003C2B76"/>
    <w:rsid w:val="00485022"/>
    <w:rsid w:val="006D06E2"/>
    <w:rsid w:val="00721B4C"/>
    <w:rsid w:val="008F1A91"/>
    <w:rsid w:val="00BC515E"/>
    <w:rsid w:val="00D86F48"/>
    <w:rsid w:val="00EF5154"/>
    <w:rsid w:val="00F54E80"/>
    <w:rsid w:val="00FC0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93CA"/>
  <w15:chartTrackingRefBased/>
  <w15:docId w15:val="{E859A394-6E30-4E78-9E01-9484D728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54"/>
    <w:rPr>
      <w14:ligatures w14:val="none"/>
    </w:rPr>
  </w:style>
  <w:style w:type="paragraph" w:styleId="Heading1">
    <w:name w:val="heading 1"/>
    <w:basedOn w:val="Normal"/>
    <w:next w:val="Normal"/>
    <w:link w:val="Heading1Char"/>
    <w:uiPriority w:val="9"/>
    <w:qFormat/>
    <w:rsid w:val="00EF5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154"/>
    <w:rPr>
      <w:rFonts w:eastAsiaTheme="majorEastAsia" w:cstheme="majorBidi"/>
      <w:color w:val="272727" w:themeColor="text1" w:themeTint="D8"/>
    </w:rPr>
  </w:style>
  <w:style w:type="paragraph" w:styleId="Title">
    <w:name w:val="Title"/>
    <w:basedOn w:val="Normal"/>
    <w:next w:val="Normal"/>
    <w:link w:val="TitleChar"/>
    <w:uiPriority w:val="10"/>
    <w:qFormat/>
    <w:rsid w:val="00EF5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154"/>
    <w:pPr>
      <w:spacing w:before="160"/>
      <w:jc w:val="center"/>
    </w:pPr>
    <w:rPr>
      <w:i/>
      <w:iCs/>
      <w:color w:val="404040" w:themeColor="text1" w:themeTint="BF"/>
    </w:rPr>
  </w:style>
  <w:style w:type="character" w:customStyle="1" w:styleId="QuoteChar">
    <w:name w:val="Quote Char"/>
    <w:basedOn w:val="DefaultParagraphFont"/>
    <w:link w:val="Quote"/>
    <w:uiPriority w:val="29"/>
    <w:rsid w:val="00EF5154"/>
    <w:rPr>
      <w:i/>
      <w:iCs/>
      <w:color w:val="404040" w:themeColor="text1" w:themeTint="BF"/>
    </w:rPr>
  </w:style>
  <w:style w:type="paragraph" w:styleId="ListParagraph">
    <w:name w:val="List Paragraph"/>
    <w:basedOn w:val="Normal"/>
    <w:uiPriority w:val="34"/>
    <w:qFormat/>
    <w:rsid w:val="00EF5154"/>
    <w:pPr>
      <w:ind w:left="720"/>
      <w:contextualSpacing/>
    </w:pPr>
  </w:style>
  <w:style w:type="character" w:styleId="IntenseEmphasis">
    <w:name w:val="Intense Emphasis"/>
    <w:basedOn w:val="DefaultParagraphFont"/>
    <w:uiPriority w:val="21"/>
    <w:qFormat/>
    <w:rsid w:val="00EF5154"/>
    <w:rPr>
      <w:i/>
      <w:iCs/>
      <w:color w:val="0F4761" w:themeColor="accent1" w:themeShade="BF"/>
    </w:rPr>
  </w:style>
  <w:style w:type="paragraph" w:styleId="IntenseQuote">
    <w:name w:val="Intense Quote"/>
    <w:basedOn w:val="Normal"/>
    <w:next w:val="Normal"/>
    <w:link w:val="IntenseQuoteChar"/>
    <w:uiPriority w:val="30"/>
    <w:qFormat/>
    <w:rsid w:val="00EF5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154"/>
    <w:rPr>
      <w:i/>
      <w:iCs/>
      <w:color w:val="0F4761" w:themeColor="accent1" w:themeShade="BF"/>
    </w:rPr>
  </w:style>
  <w:style w:type="character" w:styleId="IntenseReference">
    <w:name w:val="Intense Reference"/>
    <w:basedOn w:val="DefaultParagraphFont"/>
    <w:uiPriority w:val="32"/>
    <w:qFormat/>
    <w:rsid w:val="00EF5154"/>
    <w:rPr>
      <w:b/>
      <w:bCs/>
      <w:smallCaps/>
      <w:color w:val="0F4761" w:themeColor="accent1" w:themeShade="BF"/>
      <w:spacing w:val="5"/>
    </w:rPr>
  </w:style>
  <w:style w:type="character" w:styleId="Hyperlink">
    <w:name w:val="Hyperlink"/>
    <w:basedOn w:val="DefaultParagraphFont"/>
    <w:uiPriority w:val="99"/>
    <w:unhideWhenUsed/>
    <w:rsid w:val="00EF515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buoyinquiry@caj.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4997</Characters>
  <Application>Microsoft Office Word</Application>
  <DocSecurity>0</DocSecurity>
  <Lines>97</Lines>
  <Paragraphs>52</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Avila</dc:creator>
  <cp:keywords/>
  <dc:description/>
  <cp:lastModifiedBy>Michael Avila</cp:lastModifiedBy>
  <cp:revision>5</cp:revision>
  <dcterms:created xsi:type="dcterms:W3CDTF">2026-02-02T16:54:00Z</dcterms:created>
  <dcterms:modified xsi:type="dcterms:W3CDTF">2026-02-05T12:50:00Z</dcterms:modified>
</cp:coreProperties>
</file>