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46E5A" w14:textId="7C46D515" w:rsidR="00090A69" w:rsidRDefault="00F51139" w:rsidP="00090A69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Mobuoy </w:t>
      </w:r>
      <w:r w:rsidR="00090A69">
        <w:rPr>
          <w:rFonts w:ascii="Calibri" w:hAnsi="Calibri" w:cs="Calibri"/>
          <w:b/>
          <w:bCs/>
          <w:sz w:val="22"/>
          <w:szCs w:val="22"/>
        </w:rPr>
        <w:t>Project Timeline</w:t>
      </w:r>
    </w:p>
    <w:p w14:paraId="42DA632A" w14:textId="77777777" w:rsidR="00090A69" w:rsidRPr="00537BB1" w:rsidRDefault="00090A69" w:rsidP="00090A69">
      <w:pPr>
        <w:rPr>
          <w:rFonts w:ascii="Calibri" w:hAnsi="Calibri" w:cs="Calibri"/>
          <w:b/>
          <w:bCs/>
          <w:sz w:val="22"/>
          <w:szCs w:val="22"/>
        </w:rPr>
      </w:pPr>
      <w:r w:rsidRPr="00537BB1">
        <w:rPr>
          <w:rFonts w:ascii="Calibri" w:hAnsi="Calibri" w:cs="Calibri"/>
          <w:b/>
          <w:bCs/>
          <w:sz w:val="22"/>
          <w:szCs w:val="22"/>
        </w:rPr>
        <w:t>Evidence and Submissions</w:t>
      </w:r>
    </w:p>
    <w:p w14:paraId="4F1B0E76" w14:textId="77777777" w:rsidR="00090A69" w:rsidRPr="00537BB1" w:rsidRDefault="00090A69" w:rsidP="00090A6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37BB1">
        <w:rPr>
          <w:rFonts w:ascii="Calibri" w:hAnsi="Calibri" w:cs="Calibri"/>
          <w:b/>
          <w:bCs/>
          <w:sz w:val="22"/>
          <w:szCs w:val="22"/>
        </w:rPr>
        <w:t>Public Call for Evidence:</w:t>
      </w:r>
      <w:r w:rsidRPr="00537BB1">
        <w:rPr>
          <w:rFonts w:ascii="Calibri" w:hAnsi="Calibri" w:cs="Calibri"/>
          <w:sz w:val="22"/>
          <w:szCs w:val="22"/>
        </w:rPr>
        <w:t xml:space="preserve"> Launched </w:t>
      </w:r>
      <w:r>
        <w:rPr>
          <w:rFonts w:ascii="Calibri" w:hAnsi="Calibri" w:cs="Calibri"/>
          <w:sz w:val="22"/>
          <w:szCs w:val="22"/>
        </w:rPr>
        <w:t>November</w:t>
      </w:r>
      <w:r w:rsidRPr="00537BB1">
        <w:rPr>
          <w:rFonts w:ascii="Calibri" w:hAnsi="Calibri" w:cs="Calibri"/>
          <w:sz w:val="22"/>
          <w:szCs w:val="22"/>
        </w:rPr>
        <w:t xml:space="preserve"> 2025, closing </w:t>
      </w:r>
      <w:r>
        <w:rPr>
          <w:rFonts w:ascii="Calibri" w:hAnsi="Calibri" w:cs="Calibri"/>
          <w:sz w:val="22"/>
          <w:szCs w:val="22"/>
        </w:rPr>
        <w:t>end of March</w:t>
      </w:r>
      <w:r w:rsidRPr="00537BB1">
        <w:rPr>
          <w:rFonts w:ascii="Calibri" w:hAnsi="Calibri" w:cs="Calibri"/>
          <w:sz w:val="22"/>
          <w:szCs w:val="22"/>
        </w:rPr>
        <w:t xml:space="preserve"> 2026.</w:t>
      </w:r>
    </w:p>
    <w:p w14:paraId="5C06944A" w14:textId="77777777" w:rsidR="00090A69" w:rsidRPr="00537BB1" w:rsidRDefault="00090A69" w:rsidP="00090A69">
      <w:pPr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537BB1">
        <w:rPr>
          <w:rFonts w:ascii="Calibri" w:hAnsi="Calibri" w:cs="Calibri"/>
          <w:b/>
          <w:bCs/>
          <w:sz w:val="22"/>
          <w:szCs w:val="22"/>
        </w:rPr>
        <w:t>Evidence can be submitted via:</w:t>
      </w:r>
    </w:p>
    <w:p w14:paraId="0373C968" w14:textId="77777777" w:rsidR="00090A69" w:rsidRPr="00537BB1" w:rsidRDefault="00090A69" w:rsidP="00090A69">
      <w:pPr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537BB1">
        <w:rPr>
          <w:rFonts w:ascii="Calibri" w:hAnsi="Calibri" w:cs="Calibri"/>
          <w:sz w:val="22"/>
          <w:szCs w:val="22"/>
        </w:rPr>
        <w:t>Online portal or dedicated email.</w:t>
      </w:r>
    </w:p>
    <w:p w14:paraId="0C024B30" w14:textId="77777777" w:rsidR="00090A69" w:rsidRPr="00537BB1" w:rsidRDefault="00090A69" w:rsidP="00090A69">
      <w:pPr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537BB1">
        <w:rPr>
          <w:rFonts w:ascii="Calibri" w:hAnsi="Calibri" w:cs="Calibri"/>
          <w:sz w:val="22"/>
          <w:szCs w:val="22"/>
        </w:rPr>
        <w:t>Written statements and documentation.</w:t>
      </w:r>
    </w:p>
    <w:p w14:paraId="4F0B30F3" w14:textId="77777777" w:rsidR="00090A69" w:rsidRPr="00537BB1" w:rsidRDefault="00090A69" w:rsidP="00090A69">
      <w:pPr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537BB1">
        <w:rPr>
          <w:rFonts w:ascii="Calibri" w:hAnsi="Calibri" w:cs="Calibri"/>
          <w:sz w:val="22"/>
          <w:szCs w:val="22"/>
        </w:rPr>
        <w:t>Testimony collected through community events.</w:t>
      </w:r>
    </w:p>
    <w:p w14:paraId="7B61C32C" w14:textId="77777777" w:rsidR="00090A69" w:rsidRPr="00537BB1" w:rsidRDefault="00090A69" w:rsidP="00090A6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37BB1">
        <w:rPr>
          <w:rFonts w:ascii="Calibri" w:hAnsi="Calibri" w:cs="Calibri"/>
          <w:sz w:val="22"/>
          <w:szCs w:val="22"/>
        </w:rPr>
        <w:t xml:space="preserve">Submissions will be reviewed and prioritised jointly by </w:t>
      </w:r>
      <w:r w:rsidRPr="00537BB1">
        <w:rPr>
          <w:rFonts w:ascii="Calibri" w:hAnsi="Calibri" w:cs="Calibri"/>
          <w:b/>
          <w:bCs/>
          <w:sz w:val="22"/>
          <w:szCs w:val="22"/>
        </w:rPr>
        <w:t>CAJ and PILS</w:t>
      </w:r>
      <w:r w:rsidRPr="00537BB1">
        <w:rPr>
          <w:rFonts w:ascii="Calibri" w:hAnsi="Calibri" w:cs="Calibri"/>
          <w:sz w:val="22"/>
          <w:szCs w:val="22"/>
        </w:rPr>
        <w:t>, based on credibility, relevance and representation.</w:t>
      </w:r>
    </w:p>
    <w:p w14:paraId="70897A93" w14:textId="77777777" w:rsidR="00090A69" w:rsidRDefault="00090A69" w:rsidP="00090A6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37BB1">
        <w:rPr>
          <w:rFonts w:ascii="Calibri" w:hAnsi="Calibri" w:cs="Calibri"/>
          <w:b/>
          <w:bCs/>
          <w:sz w:val="22"/>
          <w:szCs w:val="22"/>
        </w:rPr>
        <w:t>Witnesses:</w:t>
      </w:r>
      <w:r w:rsidRPr="00537BB1">
        <w:rPr>
          <w:rFonts w:ascii="Calibri" w:hAnsi="Calibri" w:cs="Calibri"/>
          <w:sz w:val="22"/>
          <w:szCs w:val="22"/>
        </w:rPr>
        <w:t xml:space="preserve"> Will include community members, technical experts, journalists, NGOs and (where possible) officials or agency representatives.</w:t>
      </w:r>
    </w:p>
    <w:p w14:paraId="65304286" w14:textId="77777777" w:rsidR="00090A69" w:rsidRPr="00537BB1" w:rsidRDefault="00090A69" w:rsidP="00090A6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Panellists:</w:t>
      </w:r>
      <w:r>
        <w:rPr>
          <w:rFonts w:ascii="Calibri" w:hAnsi="Calibri" w:cs="Calibri"/>
          <w:sz w:val="22"/>
          <w:szCs w:val="22"/>
        </w:rPr>
        <w:t xml:space="preserve"> Based on the community-identified priorities, Panellists will be selected with relevant expertise in environmental law and justice, public safety and/or human rights backgrounds.</w:t>
      </w:r>
    </w:p>
    <w:p w14:paraId="077508E4" w14:textId="77777777" w:rsidR="00090A69" w:rsidRPr="00537BB1" w:rsidRDefault="00090A69" w:rsidP="00090A69">
      <w:pPr>
        <w:rPr>
          <w:rFonts w:ascii="Calibri" w:hAnsi="Calibri" w:cs="Calibri"/>
          <w:b/>
          <w:bCs/>
          <w:sz w:val="22"/>
          <w:szCs w:val="22"/>
        </w:rPr>
      </w:pPr>
      <w:r w:rsidRPr="00537BB1">
        <w:rPr>
          <w:rFonts w:ascii="Calibri" w:hAnsi="Calibri" w:cs="Calibri"/>
          <w:b/>
          <w:bCs/>
          <w:sz w:val="22"/>
          <w:szCs w:val="22"/>
        </w:rPr>
        <w:t>Outputs</w:t>
      </w:r>
    </w:p>
    <w:p w14:paraId="2FE2D01F" w14:textId="77777777" w:rsidR="00090A69" w:rsidRPr="00011522" w:rsidRDefault="00090A69" w:rsidP="00090A69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Regular Stakeholder Updates on Project Progress </w:t>
      </w:r>
      <w:r w:rsidRPr="001A6EEC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throughout Inquiry</w:t>
      </w:r>
    </w:p>
    <w:p w14:paraId="2B56FF11" w14:textId="77777777" w:rsidR="00090A69" w:rsidRPr="00537BB1" w:rsidRDefault="00090A69" w:rsidP="00090A69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37BB1">
        <w:rPr>
          <w:rFonts w:ascii="Calibri" w:hAnsi="Calibri" w:cs="Calibri"/>
          <w:b/>
          <w:bCs/>
          <w:sz w:val="22"/>
          <w:szCs w:val="22"/>
        </w:rPr>
        <w:t xml:space="preserve">Two-Day </w:t>
      </w:r>
      <w:r>
        <w:rPr>
          <w:rFonts w:ascii="Calibri" w:hAnsi="Calibri" w:cs="Calibri"/>
          <w:b/>
          <w:bCs/>
          <w:sz w:val="22"/>
          <w:szCs w:val="22"/>
        </w:rPr>
        <w:t>Community</w:t>
      </w:r>
      <w:r w:rsidRPr="00537BB1">
        <w:rPr>
          <w:rFonts w:ascii="Calibri" w:hAnsi="Calibri" w:cs="Calibri"/>
          <w:b/>
          <w:bCs/>
          <w:sz w:val="22"/>
          <w:szCs w:val="22"/>
        </w:rPr>
        <w:t xml:space="preserve"> Hearing</w:t>
      </w:r>
      <w:r w:rsidRPr="00537BB1">
        <w:rPr>
          <w:rFonts w:ascii="Calibri" w:hAnsi="Calibri" w:cs="Calibri"/>
          <w:sz w:val="22"/>
          <w:szCs w:val="22"/>
        </w:rPr>
        <w:t xml:space="preserve"> – </w:t>
      </w:r>
      <w:r>
        <w:rPr>
          <w:rFonts w:ascii="Calibri" w:hAnsi="Calibri" w:cs="Calibri"/>
          <w:sz w:val="22"/>
          <w:szCs w:val="22"/>
        </w:rPr>
        <w:t>summer/autumn</w:t>
      </w:r>
      <w:r w:rsidRPr="00537BB1">
        <w:rPr>
          <w:rFonts w:ascii="Calibri" w:hAnsi="Calibri" w:cs="Calibri"/>
          <w:sz w:val="22"/>
          <w:szCs w:val="22"/>
        </w:rPr>
        <w:t xml:space="preserve"> 2026.</w:t>
      </w:r>
    </w:p>
    <w:p w14:paraId="438405CB" w14:textId="77777777" w:rsidR="00090A69" w:rsidRPr="00537BB1" w:rsidRDefault="00090A69" w:rsidP="00090A69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37BB1">
        <w:rPr>
          <w:rFonts w:ascii="Calibri" w:hAnsi="Calibri" w:cs="Calibri"/>
          <w:b/>
          <w:bCs/>
          <w:sz w:val="22"/>
          <w:szCs w:val="22"/>
        </w:rPr>
        <w:t>Panel Rulings and Recommendations</w:t>
      </w:r>
      <w:r w:rsidRPr="00537BB1">
        <w:rPr>
          <w:rFonts w:ascii="Calibri" w:hAnsi="Calibri" w:cs="Calibri"/>
          <w:sz w:val="22"/>
          <w:szCs w:val="22"/>
        </w:rPr>
        <w:t xml:space="preserve"> – published as a final report (</w:t>
      </w:r>
      <w:r>
        <w:rPr>
          <w:rFonts w:ascii="Calibri" w:hAnsi="Calibri" w:cs="Calibri"/>
          <w:sz w:val="22"/>
          <w:szCs w:val="22"/>
        </w:rPr>
        <w:t>autumn</w:t>
      </w:r>
      <w:r w:rsidRPr="00537BB1">
        <w:rPr>
          <w:rFonts w:ascii="Calibri" w:hAnsi="Calibri" w:cs="Calibri"/>
          <w:sz w:val="22"/>
          <w:szCs w:val="22"/>
        </w:rPr>
        <w:t xml:space="preserve"> 2026).</w:t>
      </w:r>
    </w:p>
    <w:p w14:paraId="3ADF15B0" w14:textId="77777777" w:rsidR="00090A69" w:rsidRPr="00011522" w:rsidRDefault="00090A69" w:rsidP="00090A69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37BB1">
        <w:rPr>
          <w:rFonts w:ascii="Calibri" w:hAnsi="Calibri" w:cs="Calibri"/>
          <w:b/>
          <w:bCs/>
          <w:sz w:val="22"/>
          <w:szCs w:val="22"/>
        </w:rPr>
        <w:t>Public Summary and Advocacy Toolkit</w:t>
      </w:r>
      <w:r w:rsidRPr="00537BB1">
        <w:rPr>
          <w:rFonts w:ascii="Calibri" w:hAnsi="Calibri" w:cs="Calibri"/>
          <w:sz w:val="22"/>
          <w:szCs w:val="22"/>
        </w:rPr>
        <w:t xml:space="preserve"> – accessible briefing for communities, media and policymakers.</w:t>
      </w:r>
    </w:p>
    <w:p w14:paraId="1B4FCBB8" w14:textId="77777777" w:rsidR="00090A69" w:rsidRPr="00537BB1" w:rsidRDefault="00090A69" w:rsidP="00090A69">
      <w:pPr>
        <w:rPr>
          <w:rFonts w:ascii="Calibri" w:hAnsi="Calibri" w:cs="Calibri"/>
          <w:b/>
          <w:bCs/>
          <w:sz w:val="22"/>
          <w:szCs w:val="22"/>
        </w:rPr>
      </w:pPr>
      <w:r w:rsidRPr="00537BB1">
        <w:rPr>
          <w:rFonts w:ascii="Calibri" w:hAnsi="Calibri" w:cs="Calibri"/>
          <w:b/>
          <w:bCs/>
          <w:sz w:val="22"/>
          <w:szCs w:val="22"/>
        </w:rPr>
        <w:t>Timeline (Indicative)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2127"/>
        <w:gridCol w:w="4626"/>
      </w:tblGrid>
      <w:tr w:rsidR="00090A69" w:rsidRPr="00537BB1" w14:paraId="3DA2E2FF" w14:textId="77777777" w:rsidTr="00A33ACF">
        <w:trPr>
          <w:tblHeader/>
          <w:tblCellSpacing w:w="15" w:type="dxa"/>
        </w:trPr>
        <w:tc>
          <w:tcPr>
            <w:tcW w:w="2218" w:type="dxa"/>
            <w:vAlign w:val="center"/>
          </w:tcPr>
          <w:p w14:paraId="5F470FF5" w14:textId="77777777" w:rsidR="00090A69" w:rsidRPr="00537BB1" w:rsidRDefault="00090A69" w:rsidP="00A33AC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7BB1">
              <w:rPr>
                <w:rFonts w:ascii="Calibri" w:hAnsi="Calibri" w:cs="Calibri"/>
                <w:b/>
                <w:bCs/>
                <w:sz w:val="22"/>
                <w:szCs w:val="22"/>
              </w:rPr>
              <w:t>Phase</w:t>
            </w:r>
          </w:p>
        </w:tc>
        <w:tc>
          <w:tcPr>
            <w:tcW w:w="2097" w:type="dxa"/>
            <w:vAlign w:val="center"/>
          </w:tcPr>
          <w:p w14:paraId="443C1A19" w14:textId="77777777" w:rsidR="00090A69" w:rsidRPr="00537BB1" w:rsidRDefault="00090A69" w:rsidP="00A33AC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7BB1">
              <w:rPr>
                <w:rFonts w:ascii="Calibri" w:hAnsi="Calibri" w:cs="Calibri"/>
                <w:b/>
                <w:bCs/>
                <w:sz w:val="22"/>
                <w:szCs w:val="22"/>
              </w:rPr>
              <w:t>Timeframe</w:t>
            </w:r>
          </w:p>
        </w:tc>
        <w:tc>
          <w:tcPr>
            <w:tcW w:w="4581" w:type="dxa"/>
            <w:vAlign w:val="center"/>
          </w:tcPr>
          <w:p w14:paraId="50C200BB" w14:textId="77777777" w:rsidR="00090A69" w:rsidRPr="00537BB1" w:rsidRDefault="00090A69" w:rsidP="00A33AC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7BB1">
              <w:rPr>
                <w:rFonts w:ascii="Calibri" w:hAnsi="Calibri" w:cs="Calibri"/>
                <w:b/>
                <w:bCs/>
                <w:sz w:val="22"/>
                <w:szCs w:val="22"/>
              </w:rPr>
              <w:t>Key Activities</w:t>
            </w:r>
          </w:p>
        </w:tc>
      </w:tr>
      <w:tr w:rsidR="00090A69" w:rsidRPr="00537BB1" w14:paraId="0319D638" w14:textId="77777777" w:rsidTr="00A33ACF">
        <w:trPr>
          <w:tblCellSpacing w:w="15" w:type="dxa"/>
        </w:trPr>
        <w:tc>
          <w:tcPr>
            <w:tcW w:w="2218" w:type="dxa"/>
            <w:vAlign w:val="center"/>
          </w:tcPr>
          <w:p w14:paraId="2CEB1B0B" w14:textId="77777777" w:rsidR="00090A69" w:rsidRPr="00537BB1" w:rsidRDefault="00090A69" w:rsidP="00A33ACF">
            <w:pPr>
              <w:rPr>
                <w:rFonts w:ascii="Calibri" w:hAnsi="Calibri" w:cs="Calibri"/>
                <w:sz w:val="22"/>
                <w:szCs w:val="22"/>
              </w:rPr>
            </w:pPr>
            <w:r w:rsidRPr="00537BB1">
              <w:rPr>
                <w:rFonts w:ascii="Calibri" w:hAnsi="Calibri" w:cs="Calibri"/>
                <w:b/>
                <w:bCs/>
                <w:sz w:val="22"/>
                <w:szCs w:val="22"/>
              </w:rPr>
              <w:t>Preparation</w:t>
            </w:r>
          </w:p>
        </w:tc>
        <w:tc>
          <w:tcPr>
            <w:tcW w:w="2097" w:type="dxa"/>
            <w:vAlign w:val="center"/>
          </w:tcPr>
          <w:p w14:paraId="527936A2" w14:textId="77777777" w:rsidR="00090A69" w:rsidRPr="00537BB1" w:rsidRDefault="00090A69" w:rsidP="00A33ACF">
            <w:pPr>
              <w:rPr>
                <w:rFonts w:ascii="Calibri" w:hAnsi="Calibri" w:cs="Calibri"/>
                <w:sz w:val="22"/>
                <w:szCs w:val="22"/>
              </w:rPr>
            </w:pPr>
            <w:r w:rsidRPr="00537BB1">
              <w:rPr>
                <w:rFonts w:ascii="Calibri" w:hAnsi="Calibri" w:cs="Calibri"/>
                <w:sz w:val="22"/>
                <w:szCs w:val="22"/>
              </w:rPr>
              <w:t>Aug–Oct 2025</w:t>
            </w:r>
          </w:p>
        </w:tc>
        <w:tc>
          <w:tcPr>
            <w:tcW w:w="4581" w:type="dxa"/>
            <w:vAlign w:val="center"/>
          </w:tcPr>
          <w:p w14:paraId="0F31C331" w14:textId="2BE654C0" w:rsidR="00090A69" w:rsidRPr="00537BB1" w:rsidRDefault="00090A69" w:rsidP="00A33ACF">
            <w:pPr>
              <w:rPr>
                <w:rFonts w:ascii="Calibri" w:hAnsi="Calibri" w:cs="Calibri"/>
                <w:sz w:val="22"/>
                <w:szCs w:val="22"/>
              </w:rPr>
            </w:pPr>
            <w:r w:rsidRPr="00537BB1">
              <w:rPr>
                <w:rFonts w:ascii="Calibri" w:hAnsi="Calibri" w:cs="Calibri"/>
                <w:sz w:val="22"/>
                <w:szCs w:val="22"/>
              </w:rPr>
              <w:t>Finalise ToR; launch communications.</w:t>
            </w:r>
          </w:p>
        </w:tc>
      </w:tr>
      <w:tr w:rsidR="00090A69" w:rsidRPr="00537BB1" w14:paraId="47E17D3B" w14:textId="77777777" w:rsidTr="00A33ACF">
        <w:trPr>
          <w:tblCellSpacing w:w="15" w:type="dxa"/>
        </w:trPr>
        <w:tc>
          <w:tcPr>
            <w:tcW w:w="2218" w:type="dxa"/>
            <w:vAlign w:val="center"/>
          </w:tcPr>
          <w:p w14:paraId="113BC44A" w14:textId="77777777" w:rsidR="00090A69" w:rsidRDefault="00090A69" w:rsidP="00A33ACF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7BB1">
              <w:rPr>
                <w:rFonts w:ascii="Calibri" w:hAnsi="Calibri" w:cs="Calibri"/>
                <w:b/>
                <w:bCs/>
                <w:sz w:val="22"/>
                <w:szCs w:val="22"/>
              </w:rPr>
              <w:t>Call for Evidence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&amp; </w:t>
            </w:r>
          </w:p>
          <w:p w14:paraId="3CE6093A" w14:textId="77777777" w:rsidR="00090A69" w:rsidRPr="00537BB1" w:rsidRDefault="00090A69" w:rsidP="00A33AC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engagement events</w:t>
            </w:r>
          </w:p>
        </w:tc>
        <w:tc>
          <w:tcPr>
            <w:tcW w:w="2097" w:type="dxa"/>
            <w:vAlign w:val="center"/>
          </w:tcPr>
          <w:p w14:paraId="5FFCC558" w14:textId="2727F777" w:rsidR="00090A69" w:rsidRPr="00537BB1" w:rsidRDefault="00090A69" w:rsidP="00A33A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Nov</w:t>
            </w:r>
            <w:r w:rsidRPr="00537BB1">
              <w:rPr>
                <w:rFonts w:ascii="Calibri" w:hAnsi="Calibri" w:cs="Calibri"/>
                <w:sz w:val="22"/>
                <w:szCs w:val="22"/>
              </w:rPr>
              <w:t xml:space="preserve"> 2025 – </w:t>
            </w:r>
            <w:r w:rsidR="008A0192">
              <w:rPr>
                <w:rFonts w:ascii="Calibri" w:hAnsi="Calibri" w:cs="Calibri"/>
                <w:sz w:val="22"/>
                <w:szCs w:val="22"/>
              </w:rPr>
              <w:t>May</w:t>
            </w:r>
            <w:r w:rsidRPr="00537BB1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</w:tc>
        <w:tc>
          <w:tcPr>
            <w:tcW w:w="4581" w:type="dxa"/>
            <w:vAlign w:val="center"/>
          </w:tcPr>
          <w:p w14:paraId="7F2BA18C" w14:textId="77777777" w:rsidR="00090A69" w:rsidRPr="00537BB1" w:rsidRDefault="00090A69" w:rsidP="00A33ACF">
            <w:pPr>
              <w:rPr>
                <w:rFonts w:ascii="Calibri" w:hAnsi="Calibri" w:cs="Calibri"/>
                <w:sz w:val="22"/>
                <w:szCs w:val="22"/>
              </w:rPr>
            </w:pPr>
            <w:r w:rsidRPr="00537BB1">
              <w:rPr>
                <w:rFonts w:ascii="Calibri" w:hAnsi="Calibri" w:cs="Calibri"/>
                <w:sz w:val="22"/>
                <w:szCs w:val="22"/>
              </w:rPr>
              <w:t>Accept and triage submissions</w:t>
            </w:r>
            <w:r>
              <w:rPr>
                <w:rFonts w:ascii="Calibri" w:hAnsi="Calibri" w:cs="Calibri"/>
                <w:sz w:val="22"/>
                <w:szCs w:val="22"/>
              </w:rPr>
              <w:t>; host events</w:t>
            </w:r>
          </w:p>
        </w:tc>
      </w:tr>
      <w:tr w:rsidR="00090A69" w:rsidRPr="00537BB1" w14:paraId="5A0FD038" w14:textId="77777777" w:rsidTr="00A33ACF">
        <w:trPr>
          <w:tblCellSpacing w:w="15" w:type="dxa"/>
        </w:trPr>
        <w:tc>
          <w:tcPr>
            <w:tcW w:w="2218" w:type="dxa"/>
            <w:vAlign w:val="center"/>
          </w:tcPr>
          <w:p w14:paraId="308E2690" w14:textId="77777777" w:rsidR="00090A69" w:rsidRPr="00537BB1" w:rsidRDefault="00090A69" w:rsidP="00A33ACF">
            <w:pPr>
              <w:rPr>
                <w:rFonts w:ascii="Calibri" w:hAnsi="Calibri" w:cs="Calibri"/>
                <w:sz w:val="22"/>
                <w:szCs w:val="22"/>
              </w:rPr>
            </w:pPr>
            <w:r w:rsidRPr="00537BB1">
              <w:rPr>
                <w:rFonts w:ascii="Calibri" w:hAnsi="Calibri" w:cs="Calibri"/>
                <w:b/>
                <w:bCs/>
                <w:sz w:val="22"/>
                <w:szCs w:val="22"/>
              </w:rPr>
              <w:t>Review and Witness Selection</w:t>
            </w:r>
          </w:p>
        </w:tc>
        <w:tc>
          <w:tcPr>
            <w:tcW w:w="2097" w:type="dxa"/>
            <w:vAlign w:val="center"/>
          </w:tcPr>
          <w:p w14:paraId="586A2BE4" w14:textId="0A564D76" w:rsidR="00090A69" w:rsidRPr="00537BB1" w:rsidRDefault="003A46F3" w:rsidP="00A33A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TBC</w:t>
            </w:r>
          </w:p>
        </w:tc>
        <w:tc>
          <w:tcPr>
            <w:tcW w:w="4581" w:type="dxa"/>
            <w:vAlign w:val="center"/>
          </w:tcPr>
          <w:p w14:paraId="7C22B1E6" w14:textId="77777777" w:rsidR="00090A69" w:rsidRPr="00537BB1" w:rsidRDefault="00090A69" w:rsidP="00A33ACF">
            <w:pPr>
              <w:rPr>
                <w:rFonts w:ascii="Calibri" w:hAnsi="Calibri" w:cs="Calibri"/>
                <w:sz w:val="22"/>
                <w:szCs w:val="22"/>
              </w:rPr>
            </w:pPr>
            <w:r w:rsidRPr="00537BB1">
              <w:rPr>
                <w:rFonts w:ascii="Calibri" w:hAnsi="Calibri" w:cs="Calibri"/>
                <w:sz w:val="22"/>
                <w:szCs w:val="22"/>
              </w:rPr>
              <w:t>Prioritise and brief witnesses</w:t>
            </w:r>
            <w:r>
              <w:rPr>
                <w:rFonts w:ascii="Calibri" w:hAnsi="Calibri" w:cs="Calibri"/>
                <w:sz w:val="22"/>
                <w:szCs w:val="22"/>
              </w:rPr>
              <w:t>; triage evidence; liaise with and prepare panel</w:t>
            </w:r>
          </w:p>
        </w:tc>
      </w:tr>
      <w:tr w:rsidR="00090A69" w:rsidRPr="00537BB1" w14:paraId="1EBEB68A" w14:textId="77777777" w:rsidTr="00A33ACF">
        <w:trPr>
          <w:tblCellSpacing w:w="15" w:type="dxa"/>
        </w:trPr>
        <w:tc>
          <w:tcPr>
            <w:tcW w:w="2218" w:type="dxa"/>
            <w:vAlign w:val="center"/>
          </w:tcPr>
          <w:p w14:paraId="2BB3E45D" w14:textId="77777777" w:rsidR="00090A69" w:rsidRPr="00537BB1" w:rsidRDefault="00090A69" w:rsidP="00A33ACF">
            <w:pPr>
              <w:rPr>
                <w:rFonts w:ascii="Calibri" w:hAnsi="Calibri" w:cs="Calibri"/>
                <w:sz w:val="22"/>
                <w:szCs w:val="22"/>
              </w:rPr>
            </w:pPr>
            <w:r w:rsidRPr="00537BB1">
              <w:rPr>
                <w:rFonts w:ascii="Calibri" w:hAnsi="Calibri" w:cs="Calibri"/>
                <w:b/>
                <w:bCs/>
                <w:sz w:val="22"/>
                <w:szCs w:val="22"/>
              </w:rPr>
              <w:t>Hearing</w:t>
            </w:r>
          </w:p>
        </w:tc>
        <w:tc>
          <w:tcPr>
            <w:tcW w:w="2097" w:type="dxa"/>
            <w:vAlign w:val="center"/>
          </w:tcPr>
          <w:p w14:paraId="2F4C8C78" w14:textId="0C1C43FB" w:rsidR="00090A69" w:rsidRPr="00537BB1" w:rsidRDefault="008A0192" w:rsidP="00A33A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Autumn</w:t>
            </w:r>
            <w:r w:rsidR="00090A69" w:rsidRPr="00537BB1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</w:tc>
        <w:tc>
          <w:tcPr>
            <w:tcW w:w="4581" w:type="dxa"/>
            <w:vAlign w:val="center"/>
          </w:tcPr>
          <w:p w14:paraId="26B5926A" w14:textId="77777777" w:rsidR="00090A69" w:rsidRPr="00537BB1" w:rsidRDefault="00090A69" w:rsidP="00A33ACF">
            <w:pPr>
              <w:rPr>
                <w:rFonts w:ascii="Calibri" w:hAnsi="Calibri" w:cs="Calibri"/>
                <w:sz w:val="22"/>
                <w:szCs w:val="22"/>
              </w:rPr>
            </w:pPr>
            <w:r w:rsidRPr="00537BB1">
              <w:rPr>
                <w:rFonts w:ascii="Calibri" w:hAnsi="Calibri" w:cs="Calibri"/>
                <w:sz w:val="22"/>
                <w:szCs w:val="22"/>
              </w:rPr>
              <w:t>Two-day Community Hearing.</w:t>
            </w:r>
          </w:p>
        </w:tc>
      </w:tr>
      <w:tr w:rsidR="00090A69" w:rsidRPr="00537BB1" w14:paraId="54F08980" w14:textId="77777777" w:rsidTr="00A33ACF">
        <w:trPr>
          <w:tblCellSpacing w:w="15" w:type="dxa"/>
        </w:trPr>
        <w:tc>
          <w:tcPr>
            <w:tcW w:w="2218" w:type="dxa"/>
            <w:vAlign w:val="center"/>
          </w:tcPr>
          <w:p w14:paraId="156D914B" w14:textId="77777777" w:rsidR="00090A69" w:rsidRPr="00537BB1" w:rsidRDefault="00090A69" w:rsidP="00A33ACF">
            <w:pPr>
              <w:rPr>
                <w:rFonts w:ascii="Calibri" w:hAnsi="Calibri" w:cs="Calibri"/>
                <w:sz w:val="22"/>
                <w:szCs w:val="22"/>
              </w:rPr>
            </w:pPr>
            <w:r w:rsidRPr="00537BB1">
              <w:rPr>
                <w:rFonts w:ascii="Calibri" w:hAnsi="Calibri" w:cs="Calibri"/>
                <w:b/>
                <w:bCs/>
                <w:sz w:val="22"/>
                <w:szCs w:val="22"/>
              </w:rPr>
              <w:t>Reporting</w:t>
            </w:r>
          </w:p>
        </w:tc>
        <w:tc>
          <w:tcPr>
            <w:tcW w:w="2097" w:type="dxa"/>
            <w:vAlign w:val="center"/>
          </w:tcPr>
          <w:p w14:paraId="276BB6D3" w14:textId="6EAD79ED" w:rsidR="00090A69" w:rsidRPr="00537BB1" w:rsidRDefault="008A0192" w:rsidP="00A33A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Winter</w:t>
            </w:r>
            <w:r w:rsidR="00090A69" w:rsidRPr="00537BB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2026/27</w:t>
            </w:r>
          </w:p>
        </w:tc>
        <w:tc>
          <w:tcPr>
            <w:tcW w:w="4581" w:type="dxa"/>
            <w:vAlign w:val="center"/>
          </w:tcPr>
          <w:p w14:paraId="6A51888D" w14:textId="77777777" w:rsidR="00090A69" w:rsidRPr="00537BB1" w:rsidRDefault="00090A69" w:rsidP="00A33ACF">
            <w:pPr>
              <w:rPr>
                <w:rFonts w:ascii="Calibri" w:hAnsi="Calibri" w:cs="Calibri"/>
                <w:sz w:val="22"/>
                <w:szCs w:val="22"/>
              </w:rPr>
            </w:pPr>
            <w:r w:rsidRPr="00537BB1">
              <w:rPr>
                <w:rFonts w:ascii="Calibri" w:hAnsi="Calibri" w:cs="Calibri"/>
                <w:sz w:val="22"/>
                <w:szCs w:val="22"/>
              </w:rPr>
              <w:t>Panel deliberations, drafting, publication.</w:t>
            </w:r>
          </w:p>
        </w:tc>
      </w:tr>
    </w:tbl>
    <w:p w14:paraId="2AD7CC24" w14:textId="77777777" w:rsidR="00090A69" w:rsidRPr="00537BB1" w:rsidRDefault="00090A69" w:rsidP="00090A69">
      <w:pPr>
        <w:rPr>
          <w:rFonts w:ascii="Calibri" w:hAnsi="Calibri" w:cs="Calibri"/>
          <w:sz w:val="22"/>
          <w:szCs w:val="22"/>
        </w:rPr>
      </w:pPr>
    </w:p>
    <w:p w14:paraId="0B07BE70" w14:textId="77777777" w:rsidR="008A0192" w:rsidRDefault="008A0192" w:rsidP="00090A69">
      <w:pPr>
        <w:rPr>
          <w:rFonts w:ascii="Calibri" w:hAnsi="Calibri" w:cs="Calibri"/>
          <w:b/>
          <w:bCs/>
          <w:sz w:val="22"/>
          <w:szCs w:val="22"/>
        </w:rPr>
      </w:pPr>
    </w:p>
    <w:p w14:paraId="33BF5659" w14:textId="03AFD194" w:rsidR="00090A69" w:rsidRPr="00537BB1" w:rsidRDefault="00090A69" w:rsidP="00090A69">
      <w:pPr>
        <w:rPr>
          <w:rFonts w:ascii="Calibri" w:hAnsi="Calibri" w:cs="Calibri"/>
          <w:b/>
          <w:bCs/>
          <w:sz w:val="22"/>
          <w:szCs w:val="22"/>
        </w:rPr>
      </w:pPr>
      <w:r w:rsidRPr="00537BB1">
        <w:rPr>
          <w:rFonts w:ascii="Calibri" w:hAnsi="Calibri" w:cs="Calibri"/>
          <w:b/>
          <w:bCs/>
          <w:sz w:val="22"/>
          <w:szCs w:val="22"/>
        </w:rPr>
        <w:lastRenderedPageBreak/>
        <w:t>Deliverables</w:t>
      </w:r>
    </w:p>
    <w:p w14:paraId="4E6062EE" w14:textId="77777777" w:rsidR="00090A69" w:rsidRDefault="00090A69" w:rsidP="00090A69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Mobuoy Community Inquiry ‘Cheat Sheet’:</w:t>
      </w:r>
      <w:r>
        <w:rPr>
          <w:rFonts w:ascii="Calibri" w:hAnsi="Calibri" w:cs="Calibri"/>
          <w:sz w:val="22"/>
          <w:szCs w:val="22"/>
        </w:rPr>
        <w:t xml:space="preserve"> Basic facts, timeline and information related to Mobuoy</w:t>
      </w:r>
    </w:p>
    <w:p w14:paraId="62C0330E" w14:textId="77777777" w:rsidR="00090A69" w:rsidRPr="00866197" w:rsidRDefault="00090A69" w:rsidP="00090A69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Regular Stakeholder Updates on Progress</w:t>
      </w:r>
      <w:r>
        <w:rPr>
          <w:rFonts w:ascii="Calibri" w:hAnsi="Calibri" w:cs="Calibri"/>
          <w:sz w:val="22"/>
          <w:szCs w:val="22"/>
        </w:rPr>
        <w:t>: Keeping Mobuoy relevant, in the ‘public eye’ and encouraging increased community participation</w:t>
      </w:r>
    </w:p>
    <w:p w14:paraId="02737DD3" w14:textId="18DBF778" w:rsidR="00090A69" w:rsidRDefault="00090A69" w:rsidP="00090A69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Community Hearing </w:t>
      </w:r>
      <w:r w:rsidR="00EB46D0">
        <w:rPr>
          <w:rFonts w:ascii="Calibri" w:hAnsi="Calibri" w:cs="Calibri"/>
          <w:b/>
          <w:bCs/>
          <w:sz w:val="22"/>
          <w:szCs w:val="22"/>
        </w:rPr>
        <w:t xml:space="preserve">Findings &amp; </w:t>
      </w:r>
      <w:r w:rsidRPr="00537BB1">
        <w:rPr>
          <w:rFonts w:ascii="Calibri" w:hAnsi="Calibri" w:cs="Calibri"/>
          <w:b/>
          <w:bCs/>
          <w:sz w:val="22"/>
          <w:szCs w:val="22"/>
        </w:rPr>
        <w:t>Recommendations</w:t>
      </w:r>
      <w:r w:rsidR="00EB46D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37BB1">
        <w:rPr>
          <w:rFonts w:ascii="Calibri" w:hAnsi="Calibri" w:cs="Calibri"/>
          <w:sz w:val="22"/>
          <w:szCs w:val="22"/>
        </w:rPr>
        <w:t>(signed by panel members).</w:t>
      </w:r>
    </w:p>
    <w:p w14:paraId="23AEC40C" w14:textId="77777777" w:rsidR="00090A69" w:rsidRPr="00537BB1" w:rsidRDefault="00090A69" w:rsidP="00090A69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537BB1">
        <w:rPr>
          <w:rFonts w:ascii="Calibri" w:hAnsi="Calibri" w:cs="Calibri"/>
          <w:b/>
          <w:bCs/>
          <w:sz w:val="22"/>
          <w:szCs w:val="22"/>
        </w:rPr>
        <w:t>Final Report</w:t>
      </w:r>
      <w:r w:rsidRPr="00537BB1">
        <w:rPr>
          <w:rFonts w:ascii="Calibri" w:hAnsi="Calibri" w:cs="Calibri"/>
          <w:sz w:val="22"/>
          <w:szCs w:val="22"/>
        </w:rPr>
        <w:t xml:space="preserve"> (CAJ-led, in consultation with partners).</w:t>
      </w:r>
    </w:p>
    <w:p w14:paraId="02A3C347" w14:textId="77777777" w:rsidR="00090A69" w:rsidRPr="00537BB1" w:rsidRDefault="00090A69" w:rsidP="00090A69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537BB1">
        <w:rPr>
          <w:rFonts w:ascii="Calibri" w:hAnsi="Calibri" w:cs="Calibri"/>
          <w:b/>
          <w:bCs/>
          <w:sz w:val="22"/>
          <w:szCs w:val="22"/>
        </w:rPr>
        <w:t>Archival Repository (CAJ)</w:t>
      </w:r>
      <w:r w:rsidRPr="00537BB1">
        <w:rPr>
          <w:rFonts w:ascii="Calibri" w:hAnsi="Calibri" w:cs="Calibri"/>
          <w:sz w:val="22"/>
          <w:szCs w:val="22"/>
        </w:rPr>
        <w:t xml:space="preserve"> for materials collected.</w:t>
      </w:r>
    </w:p>
    <w:p w14:paraId="5F8726C6" w14:textId="77777777" w:rsidR="00090A69" w:rsidRPr="00537BB1" w:rsidRDefault="00090A69" w:rsidP="00090A69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537BB1">
        <w:rPr>
          <w:rFonts w:ascii="Calibri" w:hAnsi="Calibri" w:cs="Calibri"/>
          <w:b/>
          <w:bCs/>
          <w:sz w:val="22"/>
          <w:szCs w:val="22"/>
        </w:rPr>
        <w:t>Media and Public Engagement Outputs</w:t>
      </w:r>
      <w:r w:rsidRPr="00537BB1">
        <w:rPr>
          <w:rFonts w:ascii="Calibri" w:hAnsi="Calibri" w:cs="Calibri"/>
          <w:sz w:val="22"/>
          <w:szCs w:val="22"/>
        </w:rPr>
        <w:t xml:space="preserve"> (CAJ &amp; The Gathering).</w:t>
      </w:r>
    </w:p>
    <w:p w14:paraId="5EE76BAC" w14:textId="77777777" w:rsidR="00090A69" w:rsidRPr="003C1E06" w:rsidRDefault="00090A69" w:rsidP="00090A69">
      <w:pPr>
        <w:rPr>
          <w:rFonts w:ascii="Calibri" w:hAnsi="Calibri" w:cs="Calibri"/>
          <w:b/>
          <w:bCs/>
          <w:sz w:val="22"/>
          <w:szCs w:val="22"/>
        </w:rPr>
      </w:pPr>
      <w:r w:rsidRPr="003C1E06">
        <w:rPr>
          <w:rFonts w:ascii="Calibri" w:hAnsi="Calibri" w:cs="Calibri"/>
          <w:b/>
          <w:bCs/>
          <w:sz w:val="22"/>
          <w:szCs w:val="22"/>
        </w:rPr>
        <w:t>Review and Amendment</w:t>
      </w:r>
    </w:p>
    <w:p w14:paraId="6F1A8BFC" w14:textId="77777777" w:rsidR="00090A69" w:rsidRPr="003C1E06" w:rsidRDefault="00090A69" w:rsidP="00090A6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project schedule, along with its</w:t>
      </w:r>
      <w:r w:rsidRPr="003C1E06">
        <w:rPr>
          <w:rFonts w:ascii="Calibri" w:hAnsi="Calibri" w:cs="Calibri"/>
          <w:sz w:val="22"/>
          <w:szCs w:val="22"/>
        </w:rPr>
        <w:t xml:space="preserve"> </w:t>
      </w:r>
      <w:r w:rsidRPr="00402647">
        <w:rPr>
          <w:rFonts w:ascii="Calibri" w:hAnsi="Calibri" w:cs="Calibri"/>
          <w:sz w:val="22"/>
          <w:szCs w:val="22"/>
        </w:rPr>
        <w:t>Terms of Reference</w:t>
      </w:r>
      <w:r>
        <w:rPr>
          <w:rFonts w:ascii="Calibri" w:hAnsi="Calibri" w:cs="Calibri"/>
          <w:sz w:val="22"/>
          <w:szCs w:val="22"/>
        </w:rPr>
        <w:t>,</w:t>
      </w:r>
      <w:r w:rsidRPr="003C1E06">
        <w:rPr>
          <w:rFonts w:ascii="Calibri" w:hAnsi="Calibri" w:cs="Calibri"/>
          <w:sz w:val="22"/>
          <w:szCs w:val="22"/>
        </w:rPr>
        <w:t xml:space="preserve"> may be reviewed and amended by consensus among the partner organisations as planning progresses. Amendments must preserve the independence, transparency and fairness of the process.</w:t>
      </w:r>
    </w:p>
    <w:p w14:paraId="5E2131E2" w14:textId="77777777" w:rsidR="008F1A91" w:rsidRDefault="008F1A91"/>
    <w:sectPr w:rsidR="008F1A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E5C0B"/>
    <w:multiLevelType w:val="multilevel"/>
    <w:tmpl w:val="A0B4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2830F3"/>
    <w:multiLevelType w:val="multilevel"/>
    <w:tmpl w:val="1CA6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EA715E"/>
    <w:multiLevelType w:val="multilevel"/>
    <w:tmpl w:val="08CA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2534350">
    <w:abstractNumId w:val="2"/>
  </w:num>
  <w:num w:numId="2" w16cid:durableId="1344362061">
    <w:abstractNumId w:val="1"/>
  </w:num>
  <w:num w:numId="3" w16cid:durableId="1269583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69"/>
    <w:rsid w:val="00090A69"/>
    <w:rsid w:val="000D08A2"/>
    <w:rsid w:val="00142556"/>
    <w:rsid w:val="00251A53"/>
    <w:rsid w:val="003A46F3"/>
    <w:rsid w:val="00402647"/>
    <w:rsid w:val="00485022"/>
    <w:rsid w:val="008A0192"/>
    <w:rsid w:val="008F1A91"/>
    <w:rsid w:val="00A052BD"/>
    <w:rsid w:val="00BC515E"/>
    <w:rsid w:val="00D86F48"/>
    <w:rsid w:val="00EB46D0"/>
    <w:rsid w:val="00F51139"/>
    <w:rsid w:val="00F54E80"/>
    <w:rsid w:val="00FC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CEA23"/>
  <w15:chartTrackingRefBased/>
  <w15:docId w15:val="{1CDF0889-1461-4884-BA43-72BA17F5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A69"/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0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A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A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A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A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A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A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A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A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A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A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A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A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A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A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A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A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1900</Characters>
  <Application>Microsoft Office Word</Application>
  <DocSecurity>0</DocSecurity>
  <Lines>37</Lines>
  <Paragraphs>22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Avila</dc:creator>
  <cp:keywords/>
  <dc:description/>
  <cp:lastModifiedBy>Michael Avila</cp:lastModifiedBy>
  <cp:revision>9</cp:revision>
  <dcterms:created xsi:type="dcterms:W3CDTF">2026-02-02T16:51:00Z</dcterms:created>
  <dcterms:modified xsi:type="dcterms:W3CDTF">2026-02-05T11:07:00Z</dcterms:modified>
</cp:coreProperties>
</file>